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AEE02" w14:textId="26F5FDD1" w:rsidR="002B4506" w:rsidRPr="00413E12" w:rsidRDefault="0053481A">
      <w:pPr>
        <w:rPr>
          <w:rFonts w:ascii="Arial" w:hAnsi="Arial" w:cs="Arial"/>
          <w:b/>
          <w:sz w:val="32"/>
          <w:szCs w:val="34"/>
        </w:rPr>
      </w:pPr>
      <w:bookmarkStart w:id="0" w:name="_Hlk98702097"/>
      <w:r>
        <w:rPr>
          <w:rFonts w:ascii="Arial" w:hAnsi="Arial" w:cs="Arial" w:hint="eastAsia"/>
          <w:b/>
          <w:sz w:val="32"/>
          <w:szCs w:val="34"/>
          <w:lang w:val="en-GB"/>
        </w:rPr>
        <w:t>R</w:t>
      </w:r>
      <w:r>
        <w:rPr>
          <w:rFonts w:ascii="Arial" w:hAnsi="Arial" w:cs="Arial"/>
          <w:b/>
          <w:sz w:val="32"/>
          <w:szCs w:val="34"/>
          <w:lang w:val="en-GB"/>
        </w:rPr>
        <w:t>OK</w:t>
      </w:r>
      <w:r w:rsidR="00CD6162">
        <w:rPr>
          <w:rFonts w:ascii="Arial" w:hAnsi="Arial" w:cs="Arial"/>
          <w:b/>
          <w:sz w:val="32"/>
          <w:szCs w:val="34"/>
          <w:lang w:val="en-GB"/>
        </w:rPr>
        <w:t>’s</w:t>
      </w:r>
      <w:r w:rsidR="00645837" w:rsidRPr="00413E12">
        <w:rPr>
          <w:rFonts w:ascii="Arial" w:hAnsi="Arial" w:cs="Arial"/>
          <w:b/>
          <w:sz w:val="32"/>
          <w:szCs w:val="34"/>
          <w:lang w:val="en-GB"/>
        </w:rPr>
        <w:t xml:space="preserve"> views on</w:t>
      </w:r>
      <w:r w:rsidR="002B4506" w:rsidRPr="00413E12">
        <w:rPr>
          <w:rFonts w:ascii="Arial" w:hAnsi="Arial" w:cs="Arial"/>
          <w:b/>
          <w:sz w:val="32"/>
          <w:szCs w:val="34"/>
        </w:rPr>
        <w:t xml:space="preserve"> </w:t>
      </w:r>
      <w:bookmarkStart w:id="1" w:name="_Hlk98702200"/>
      <w:r w:rsidR="006B5AEA" w:rsidRPr="00413E12">
        <w:rPr>
          <w:rFonts w:ascii="Arial" w:hAnsi="Arial" w:cs="Arial"/>
          <w:b/>
          <w:bCs/>
          <w:sz w:val="32"/>
          <w:szCs w:val="34"/>
        </w:rPr>
        <w:t>guidance on cooperative approaches referred to in Article 6, paragraph 2, of the Paris Agreement</w:t>
      </w:r>
    </w:p>
    <w:bookmarkEnd w:id="0"/>
    <w:bookmarkEnd w:id="1"/>
    <w:p w14:paraId="3568711A" w14:textId="4D8290AD" w:rsidR="002B4506" w:rsidRPr="00CD6162" w:rsidRDefault="002B4506">
      <w:pPr>
        <w:rPr>
          <w:rFonts w:ascii="Arial" w:hAnsi="Arial" w:cs="Arial"/>
          <w:b/>
          <w:sz w:val="20"/>
          <w:szCs w:val="20"/>
        </w:rPr>
      </w:pPr>
    </w:p>
    <w:p w14:paraId="2EF1171F" w14:textId="0AD11BF1" w:rsidR="001B43A2" w:rsidRPr="00AB7159" w:rsidRDefault="000B61F4" w:rsidP="000B61F4">
      <w:pPr>
        <w:pStyle w:val="Default"/>
        <w:spacing w:before="120" w:after="120" w:line="280" w:lineRule="exact"/>
        <w:jc w:val="both"/>
        <w:rPr>
          <w:rFonts w:ascii="Arial" w:hAnsi="Arial" w:cs="Arial"/>
          <w:color w:val="auto"/>
          <w:sz w:val="20"/>
          <w:szCs w:val="20"/>
        </w:rPr>
      </w:pPr>
      <w:bookmarkStart w:id="2" w:name="_Hlk98703684"/>
      <w:bookmarkStart w:id="3" w:name="_Hlk98702243"/>
      <w:r w:rsidRPr="00AB7159">
        <w:rPr>
          <w:rFonts w:ascii="Arial" w:hAnsi="Arial" w:cs="Arial"/>
          <w:color w:val="auto"/>
          <w:sz w:val="20"/>
          <w:szCs w:val="20"/>
          <w:lang w:val="en-GB"/>
        </w:rPr>
        <w:t xml:space="preserve">In response to the call for submissions </w:t>
      </w:r>
      <w:r w:rsidR="00DD4B58" w:rsidRPr="00AB7159">
        <w:rPr>
          <w:rFonts w:ascii="Arial" w:hAnsi="Arial" w:cs="Arial"/>
          <w:color w:val="auto"/>
          <w:sz w:val="20"/>
          <w:szCs w:val="20"/>
          <w:lang w:val="en-GB"/>
        </w:rPr>
        <w:t xml:space="preserve">by the </w:t>
      </w:r>
      <w:r w:rsidR="00ED29A0" w:rsidRPr="00AB7159">
        <w:rPr>
          <w:rFonts w:ascii="Arial" w:hAnsi="Arial" w:cs="Arial"/>
          <w:color w:val="auto"/>
          <w:sz w:val="20"/>
          <w:szCs w:val="20"/>
          <w:lang w:val="en-US"/>
        </w:rPr>
        <w:t>SBSTA</w:t>
      </w:r>
      <w:r w:rsidR="00ED29A0" w:rsidRPr="00AB7159">
        <w:rPr>
          <w:rFonts w:ascii="Arial" w:hAnsi="Arial" w:cs="Arial"/>
          <w:color w:val="auto"/>
          <w:sz w:val="20"/>
          <w:szCs w:val="20"/>
          <w:lang w:val="en-GB"/>
        </w:rPr>
        <w:t>56 (para. 5 of FCCC/SBSTA/2022/L.12</w:t>
      </w:r>
      <w:r w:rsidR="00ED29A0" w:rsidRPr="00AB7159">
        <w:rPr>
          <w:rStyle w:val="a7"/>
          <w:rFonts w:ascii="Arial" w:hAnsi="Arial" w:cs="Arial"/>
          <w:color w:val="auto"/>
          <w:sz w:val="20"/>
          <w:szCs w:val="20"/>
          <w:lang w:val="en-GB"/>
        </w:rPr>
        <w:footnoteReference w:id="1"/>
      </w:r>
      <w:r w:rsidR="00ED29A0" w:rsidRPr="00AB7159">
        <w:rPr>
          <w:rFonts w:ascii="Arial" w:hAnsi="Arial" w:cs="Arial"/>
          <w:color w:val="auto"/>
          <w:sz w:val="20"/>
          <w:szCs w:val="20"/>
          <w:lang w:val="en-GB"/>
        </w:rPr>
        <w:t>)</w:t>
      </w:r>
      <w:r w:rsidRPr="00AB7159">
        <w:rPr>
          <w:rFonts w:ascii="Arial" w:hAnsi="Arial" w:cs="Arial"/>
          <w:color w:val="auto"/>
          <w:sz w:val="20"/>
          <w:szCs w:val="20"/>
          <w:lang w:val="en-GB"/>
        </w:rPr>
        <w:t>,</w:t>
      </w:r>
      <w:r w:rsidR="00E8331E" w:rsidRPr="00AB7159">
        <w:rPr>
          <w:rFonts w:ascii="Arial" w:hAnsi="Arial" w:cs="Arial"/>
          <w:color w:val="auto"/>
          <w:sz w:val="20"/>
          <w:szCs w:val="20"/>
          <w:lang w:val="en-GB"/>
        </w:rPr>
        <w:t xml:space="preserve"> </w:t>
      </w:r>
      <w:r w:rsidR="001652A3" w:rsidRPr="00AB7159">
        <w:rPr>
          <w:rFonts w:ascii="Arial" w:eastAsiaTheme="minorEastAsia" w:hAnsi="Arial" w:cs="Arial"/>
          <w:color w:val="auto"/>
          <w:sz w:val="20"/>
          <w:szCs w:val="20"/>
          <w:lang w:val="en-GB"/>
        </w:rPr>
        <w:t xml:space="preserve">the </w:t>
      </w:r>
      <w:r w:rsidR="00E8331E" w:rsidRPr="00AB7159">
        <w:rPr>
          <w:rFonts w:ascii="Arial" w:hAnsi="Arial" w:cs="Arial"/>
          <w:color w:val="auto"/>
          <w:sz w:val="20"/>
          <w:szCs w:val="20"/>
          <w:lang w:val="en-GB"/>
        </w:rPr>
        <w:t>Republic of Korea</w:t>
      </w:r>
      <w:r w:rsidR="00A5602A" w:rsidRPr="00AB7159">
        <w:rPr>
          <w:rFonts w:ascii="Arial" w:hAnsi="Arial" w:cs="Arial"/>
          <w:color w:val="auto"/>
          <w:sz w:val="20"/>
          <w:szCs w:val="20"/>
          <w:lang w:val="en-GB"/>
        </w:rPr>
        <w:t xml:space="preserve"> </w:t>
      </w:r>
      <w:r w:rsidRPr="00AB7159">
        <w:rPr>
          <w:rFonts w:ascii="Arial" w:hAnsi="Arial" w:cs="Arial"/>
          <w:color w:val="auto"/>
          <w:sz w:val="20"/>
          <w:szCs w:val="20"/>
          <w:lang w:val="en-GB"/>
        </w:rPr>
        <w:t>(</w:t>
      </w:r>
      <w:r w:rsidR="00E8331E" w:rsidRPr="00AB7159">
        <w:rPr>
          <w:rFonts w:ascii="Arial" w:hAnsi="Arial" w:cs="Arial"/>
          <w:color w:val="auto"/>
          <w:sz w:val="20"/>
          <w:szCs w:val="20"/>
          <w:lang w:val="en-GB"/>
        </w:rPr>
        <w:t>ROK</w:t>
      </w:r>
      <w:r w:rsidRPr="00AB7159">
        <w:rPr>
          <w:rFonts w:ascii="Arial" w:hAnsi="Arial" w:cs="Arial"/>
          <w:color w:val="auto"/>
          <w:sz w:val="20"/>
          <w:szCs w:val="20"/>
          <w:lang w:val="en-GB"/>
        </w:rPr>
        <w:t xml:space="preserve">) is pleased to submit its views on </w:t>
      </w:r>
      <w:bookmarkEnd w:id="2"/>
      <w:r w:rsidR="0057713F" w:rsidRPr="00AB7159">
        <w:rPr>
          <w:rFonts w:ascii="Arial" w:hAnsi="Arial" w:cs="Arial"/>
          <w:color w:val="auto"/>
          <w:sz w:val="20"/>
          <w:szCs w:val="20"/>
        </w:rPr>
        <w:t>guidance on cooperative approaches referred to in Article 6, paragraph 2, of the Paris Agreeme</w:t>
      </w:r>
      <w:bookmarkStart w:id="4" w:name="_GoBack"/>
      <w:bookmarkEnd w:id="4"/>
      <w:r w:rsidR="0057713F" w:rsidRPr="00AB7159">
        <w:rPr>
          <w:rFonts w:ascii="Arial" w:hAnsi="Arial" w:cs="Arial"/>
          <w:color w:val="auto"/>
          <w:sz w:val="20"/>
          <w:szCs w:val="20"/>
        </w:rPr>
        <w:t>nt</w:t>
      </w:r>
      <w:r w:rsidR="00B57E04" w:rsidRPr="00AB7159">
        <w:rPr>
          <w:rFonts w:ascii="Arial" w:hAnsi="Arial" w:cs="Arial"/>
          <w:color w:val="auto"/>
          <w:sz w:val="20"/>
          <w:szCs w:val="20"/>
        </w:rPr>
        <w:t xml:space="preserve"> (</w:t>
      </w:r>
      <w:r w:rsidR="001652A3" w:rsidRPr="00AB7159">
        <w:rPr>
          <w:rFonts w:ascii="Arial" w:hAnsi="Arial" w:cs="Arial"/>
          <w:color w:val="auto"/>
          <w:sz w:val="20"/>
          <w:szCs w:val="20"/>
          <w:lang w:val="en-GB"/>
        </w:rPr>
        <w:t>hereinafter “A6.2 guidance”</w:t>
      </w:r>
      <w:r w:rsidR="00B57E04" w:rsidRPr="00AB7159">
        <w:rPr>
          <w:rFonts w:ascii="Arial" w:hAnsi="Arial" w:cs="Arial"/>
          <w:color w:val="auto"/>
          <w:sz w:val="20"/>
          <w:szCs w:val="20"/>
        </w:rPr>
        <w:t>)</w:t>
      </w:r>
      <w:r w:rsidR="00D146E7" w:rsidRPr="00AB7159">
        <w:rPr>
          <w:rFonts w:ascii="Arial" w:hAnsi="Arial" w:cs="Arial"/>
          <w:color w:val="auto"/>
          <w:sz w:val="20"/>
          <w:szCs w:val="20"/>
        </w:rPr>
        <w:t>.</w:t>
      </w:r>
      <w:r w:rsidR="0057713F" w:rsidRPr="00AB7159">
        <w:rPr>
          <w:rFonts w:ascii="Arial" w:hAnsi="Arial" w:cs="Arial"/>
          <w:color w:val="auto"/>
          <w:sz w:val="20"/>
          <w:szCs w:val="20"/>
        </w:rPr>
        <w:t xml:space="preserve"> </w:t>
      </w:r>
    </w:p>
    <w:bookmarkEnd w:id="3"/>
    <w:p w14:paraId="15352EFF" w14:textId="79A51553" w:rsidR="0051330C" w:rsidRPr="00AB7159" w:rsidRDefault="0051330C" w:rsidP="001B43A2">
      <w:pPr>
        <w:rPr>
          <w:rFonts w:ascii="Arial" w:hAnsi="Arial" w:cs="Arial"/>
          <w:sz w:val="20"/>
          <w:szCs w:val="20"/>
          <w:lang w:val="de-DE"/>
        </w:rPr>
      </w:pPr>
    </w:p>
    <w:p w14:paraId="4D301B9F" w14:textId="2E34CDD7" w:rsidR="00ED29A0" w:rsidRPr="00413E12" w:rsidRDefault="00ED29A0" w:rsidP="00ED29A0">
      <w:pPr>
        <w:pStyle w:val="a5"/>
        <w:numPr>
          <w:ilvl w:val="0"/>
          <w:numId w:val="3"/>
        </w:numPr>
        <w:ind w:leftChars="0"/>
        <w:rPr>
          <w:rFonts w:ascii="Arial" w:hAnsi="Arial" w:cs="Arial"/>
          <w:b/>
          <w:bCs/>
          <w:sz w:val="26"/>
          <w:szCs w:val="26"/>
          <w:lang w:val="de-DE"/>
        </w:rPr>
      </w:pPr>
      <w:r w:rsidRPr="00413E12">
        <w:rPr>
          <w:rFonts w:ascii="Arial" w:hAnsi="Arial" w:cs="Arial"/>
          <w:b/>
          <w:bCs/>
          <w:sz w:val="26"/>
          <w:szCs w:val="26"/>
          <w:lang w:val="de-DE"/>
        </w:rPr>
        <w:t>Introduction</w:t>
      </w:r>
    </w:p>
    <w:p w14:paraId="3AC96B7A" w14:textId="4414F902" w:rsidR="00ED29A0" w:rsidRPr="00AB7159" w:rsidRDefault="00ED29A0" w:rsidP="00ED29A0">
      <w:pPr>
        <w:rPr>
          <w:rFonts w:ascii="Arial" w:hAnsi="Arial" w:cs="Arial"/>
          <w:sz w:val="20"/>
          <w:szCs w:val="20"/>
          <w:lang w:val="de-DE"/>
        </w:rPr>
      </w:pPr>
    </w:p>
    <w:p w14:paraId="07972928" w14:textId="1710C8DC"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 xml:space="preserve">When adopting </w:t>
      </w:r>
      <w:r w:rsidR="001652A3" w:rsidRPr="00AB7159">
        <w:rPr>
          <w:rFonts w:ascii="Arial" w:hAnsi="Arial" w:cs="Arial"/>
          <w:sz w:val="20"/>
          <w:szCs w:val="20"/>
          <w:lang w:val="en-GB"/>
        </w:rPr>
        <w:t xml:space="preserve">the </w:t>
      </w:r>
      <w:r w:rsidRPr="00AB7159">
        <w:rPr>
          <w:rFonts w:ascii="Arial" w:hAnsi="Arial" w:cs="Arial"/>
          <w:sz w:val="20"/>
          <w:szCs w:val="20"/>
          <w:lang w:val="en-GB"/>
        </w:rPr>
        <w:t>A6.2 guidance</w:t>
      </w:r>
      <w:r w:rsidR="001652A3" w:rsidRPr="00AB7159">
        <w:rPr>
          <w:rFonts w:ascii="Arial" w:hAnsi="Arial" w:cs="Arial"/>
          <w:sz w:val="20"/>
          <w:szCs w:val="20"/>
          <w:lang w:val="en-GB"/>
        </w:rPr>
        <w:t xml:space="preserve"> at the third session of the Conference of the Parties serving as the meeting of the Parties to the Paris Agreement (CMA3)</w:t>
      </w:r>
      <w:r w:rsidRPr="00AB7159">
        <w:rPr>
          <w:rFonts w:ascii="Arial" w:hAnsi="Arial" w:cs="Arial"/>
          <w:sz w:val="20"/>
          <w:szCs w:val="20"/>
          <w:lang w:val="en-GB"/>
        </w:rPr>
        <w:t>, Parties agreed on further works as per paragraph 3 of decision 2/CMA.3 as follows:</w:t>
      </w:r>
    </w:p>
    <w:p w14:paraId="4D128C38" w14:textId="77777777"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ab/>
        <w:t>(a) Review;</w:t>
      </w:r>
    </w:p>
    <w:p w14:paraId="5B9A0C05" w14:textId="77777777"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ab/>
        <w:t>(b) Infrastructure;</w:t>
      </w:r>
    </w:p>
    <w:p w14:paraId="3FCC0730" w14:textId="77777777"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ab/>
        <w:t>(c) Reporting;</w:t>
      </w:r>
    </w:p>
    <w:p w14:paraId="113CA172" w14:textId="77777777"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ab/>
        <w:t>(d) Special circumstances of the least developed countries and small island developing States;</w:t>
      </w:r>
    </w:p>
    <w:p w14:paraId="5E0A4032" w14:textId="77777777"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ab/>
        <w:t>(e) Elaboration of further guidance in relation to corresponding adjustments for multi-year and single-year NDCs, in a manner that ensures the avoidance of double counting, including for averaging;</w:t>
      </w:r>
    </w:p>
    <w:p w14:paraId="4A4D9754" w14:textId="77777777"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ab/>
        <w:t>(f) Emissions avoidance.</w:t>
      </w:r>
    </w:p>
    <w:p w14:paraId="1DB35134" w14:textId="77777777" w:rsidR="00ED29A0" w:rsidRPr="00AB7159" w:rsidRDefault="00ED29A0" w:rsidP="00ED29A0">
      <w:pPr>
        <w:rPr>
          <w:rFonts w:ascii="Arial" w:hAnsi="Arial" w:cs="Arial"/>
          <w:sz w:val="20"/>
          <w:szCs w:val="20"/>
          <w:lang w:val="en-GB"/>
        </w:rPr>
      </w:pPr>
    </w:p>
    <w:p w14:paraId="7845FC16" w14:textId="77777777" w:rsidR="008D25BF" w:rsidRPr="00AB7159" w:rsidRDefault="00ED29A0" w:rsidP="00ED29A0">
      <w:pPr>
        <w:rPr>
          <w:rFonts w:ascii="Arial" w:hAnsi="Arial" w:cs="Arial"/>
          <w:sz w:val="20"/>
          <w:szCs w:val="20"/>
          <w:lang w:val="en-GB"/>
        </w:rPr>
      </w:pPr>
      <w:r w:rsidRPr="00AB7159">
        <w:rPr>
          <w:rFonts w:ascii="Arial" w:hAnsi="Arial" w:cs="Arial"/>
          <w:sz w:val="20"/>
          <w:szCs w:val="20"/>
          <w:lang w:val="en-GB"/>
        </w:rPr>
        <w:t xml:space="preserve">Bearing in mind the fact that some Parties have already started to participate in their own cooperative approaches with authorization, the ROK views that among six mandates above, </w:t>
      </w:r>
    </w:p>
    <w:p w14:paraId="40E01325" w14:textId="78504AD3" w:rsidR="00133448" w:rsidRPr="00AB7159" w:rsidRDefault="00ED29A0" w:rsidP="00ED29A0">
      <w:pPr>
        <w:rPr>
          <w:rFonts w:ascii="Arial" w:hAnsi="Arial" w:cs="Arial"/>
          <w:sz w:val="20"/>
          <w:szCs w:val="20"/>
          <w:lang w:val="en-GB"/>
        </w:rPr>
      </w:pPr>
      <w:r w:rsidRPr="00AB7159">
        <w:rPr>
          <w:rFonts w:ascii="Arial" w:hAnsi="Arial" w:cs="Arial"/>
          <w:sz w:val="20"/>
          <w:szCs w:val="20"/>
          <w:lang w:val="en-GB"/>
        </w:rPr>
        <w:t xml:space="preserve">(1) </w:t>
      </w:r>
      <w:proofErr w:type="gramStart"/>
      <w:r w:rsidRPr="00AB7159">
        <w:rPr>
          <w:rFonts w:ascii="Arial" w:hAnsi="Arial" w:cs="Arial"/>
          <w:sz w:val="20"/>
          <w:szCs w:val="20"/>
          <w:lang w:val="en-GB"/>
        </w:rPr>
        <w:t>reporting</w:t>
      </w:r>
      <w:proofErr w:type="gramEnd"/>
      <w:r w:rsidRPr="00AB7159">
        <w:rPr>
          <w:rFonts w:ascii="Arial" w:hAnsi="Arial" w:cs="Arial"/>
          <w:sz w:val="20"/>
          <w:szCs w:val="20"/>
          <w:lang w:val="en-GB"/>
        </w:rPr>
        <w:t>, (2) infrastructure</w:t>
      </w:r>
      <w:r w:rsidR="008D25BF" w:rsidRPr="00AB7159">
        <w:rPr>
          <w:rFonts w:ascii="Arial" w:hAnsi="Arial" w:cs="Arial"/>
          <w:sz w:val="20"/>
          <w:szCs w:val="20"/>
          <w:lang w:val="en-GB"/>
        </w:rPr>
        <w:t>,</w:t>
      </w:r>
      <w:r w:rsidRPr="00AB7159">
        <w:rPr>
          <w:rFonts w:ascii="Arial" w:hAnsi="Arial" w:cs="Arial"/>
          <w:sz w:val="20"/>
          <w:szCs w:val="20"/>
          <w:lang w:val="en-GB"/>
        </w:rPr>
        <w:t xml:space="preserve"> and (3) review should be prioritized to ensure full operationalization of the Article 6.2 and environmental integrity by tracking Parties’ activities including transfer of ITMOs properly.</w:t>
      </w:r>
    </w:p>
    <w:p w14:paraId="1F9629CC" w14:textId="77777777" w:rsidR="00ED29A0" w:rsidRPr="00AB7159" w:rsidRDefault="00ED29A0" w:rsidP="00ED29A0">
      <w:pPr>
        <w:rPr>
          <w:rFonts w:ascii="Arial" w:hAnsi="Arial" w:cs="Arial"/>
          <w:sz w:val="20"/>
          <w:szCs w:val="20"/>
          <w:lang w:val="en-GB"/>
        </w:rPr>
      </w:pPr>
    </w:p>
    <w:p w14:paraId="28E826C7" w14:textId="4799E53F"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With regard to 3 issues above, Parties have discussed in a constructive mood during the technical workshops in May 2022 and the SBSTA56. In particular, the informal reports of technical workshops</w:t>
      </w:r>
      <w:r w:rsidRPr="00AB7159">
        <w:rPr>
          <w:rFonts w:ascii="Arial" w:hAnsi="Arial" w:cs="Arial"/>
          <w:sz w:val="20"/>
          <w:szCs w:val="20"/>
          <w:vertAlign w:val="superscript"/>
          <w:lang w:val="en-GB"/>
        </w:rPr>
        <w:footnoteReference w:id="2"/>
      </w:r>
      <w:r w:rsidRPr="00AB7159">
        <w:rPr>
          <w:rFonts w:ascii="Arial" w:hAnsi="Arial" w:cs="Arial"/>
          <w:sz w:val="20"/>
          <w:szCs w:val="20"/>
          <w:lang w:val="en-GB"/>
        </w:rPr>
        <w:t xml:space="preserve"> and the informal note prepared by co-facilitators</w:t>
      </w:r>
      <w:r w:rsidRPr="00AB7159">
        <w:rPr>
          <w:rFonts w:ascii="Arial" w:hAnsi="Arial" w:cs="Arial"/>
          <w:sz w:val="20"/>
          <w:szCs w:val="20"/>
          <w:vertAlign w:val="superscript"/>
          <w:lang w:val="en-GB"/>
        </w:rPr>
        <w:footnoteReference w:id="3"/>
      </w:r>
      <w:r w:rsidRPr="00AB7159">
        <w:rPr>
          <w:rFonts w:ascii="Arial" w:hAnsi="Arial" w:cs="Arial"/>
          <w:sz w:val="20"/>
          <w:szCs w:val="20"/>
          <w:lang w:val="en-GB"/>
        </w:rPr>
        <w:t xml:space="preserve"> reflected what the Parties discussed well. Specifically, as many Parties pointed out the importance of integrated approach for reporting, infrastructure and review considering </w:t>
      </w:r>
      <w:proofErr w:type="spellStart"/>
      <w:r w:rsidRPr="00AB7159">
        <w:rPr>
          <w:rFonts w:ascii="Arial" w:hAnsi="Arial" w:cs="Arial"/>
          <w:sz w:val="20"/>
          <w:szCs w:val="20"/>
          <w:lang w:val="en-GB"/>
        </w:rPr>
        <w:t>interlinkages</w:t>
      </w:r>
      <w:proofErr w:type="spellEnd"/>
      <w:r w:rsidRPr="00AB7159">
        <w:rPr>
          <w:rFonts w:ascii="Arial" w:hAnsi="Arial" w:cs="Arial"/>
          <w:sz w:val="20"/>
          <w:szCs w:val="20"/>
          <w:lang w:val="en-GB"/>
        </w:rPr>
        <w:t xml:space="preserve"> among themselves.</w:t>
      </w:r>
    </w:p>
    <w:p w14:paraId="6D24673F" w14:textId="77777777" w:rsidR="00ED29A0" w:rsidRPr="00AB7159" w:rsidRDefault="00ED29A0" w:rsidP="00ED29A0">
      <w:pPr>
        <w:rPr>
          <w:rFonts w:ascii="Arial" w:hAnsi="Arial" w:cs="Arial"/>
          <w:sz w:val="20"/>
          <w:szCs w:val="20"/>
          <w:lang w:val="en-GB"/>
        </w:rPr>
      </w:pPr>
    </w:p>
    <w:p w14:paraId="2899DC9E" w14:textId="7C60FDCD"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 xml:space="preserve">In this context, the ROK suggests that further guidance of reporting, infrastructure and review would be developed taking into account inter-linkages and work-flows under the whole architecture of the Article 6.2 as figure 1 indicated. </w:t>
      </w:r>
    </w:p>
    <w:p w14:paraId="3A976D7C" w14:textId="14C37FF3" w:rsidR="006F4E16" w:rsidRPr="00F02FC1" w:rsidRDefault="006F4E16" w:rsidP="006F4E16">
      <w:pPr>
        <w:pStyle w:val="af1"/>
        <w:keepNext/>
      </w:pPr>
      <w:r w:rsidRPr="00F02FC1">
        <w:lastRenderedPageBreak/>
        <w:t>Figure 1.  A big picture: inter-linkages between reporting-review process and infrastructure</w:t>
      </w:r>
    </w:p>
    <w:p w14:paraId="18DCC28B" w14:textId="450E5BF8" w:rsidR="00ED29A0" w:rsidRPr="00AB7159" w:rsidRDefault="006F4E16" w:rsidP="00ED29A0">
      <w:pPr>
        <w:rPr>
          <w:rFonts w:ascii="Arial" w:hAnsi="Arial" w:cs="Arial"/>
          <w:sz w:val="20"/>
          <w:szCs w:val="20"/>
          <w:lang w:val="en-GB"/>
        </w:rPr>
      </w:pPr>
      <w:r w:rsidRPr="00AB7159">
        <w:rPr>
          <w:rFonts w:ascii="Arial" w:hAnsi="Arial" w:cs="Arial"/>
          <w:noProof/>
          <w:sz w:val="20"/>
          <w:szCs w:val="20"/>
        </w:rPr>
        <w:drawing>
          <wp:inline distT="0" distB="0" distL="0" distR="0" wp14:anchorId="12DC1A18" wp14:editId="29D6B4A6">
            <wp:extent cx="5664200" cy="5659120"/>
            <wp:effectExtent l="19050" t="19050" r="12700" b="1778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780" cy="5662697"/>
                    </a:xfrm>
                    <a:prstGeom prst="rect">
                      <a:avLst/>
                    </a:prstGeom>
                    <a:noFill/>
                    <a:ln>
                      <a:solidFill>
                        <a:schemeClr val="bg1">
                          <a:lumMod val="75000"/>
                        </a:schemeClr>
                      </a:solidFill>
                    </a:ln>
                  </pic:spPr>
                </pic:pic>
              </a:graphicData>
            </a:graphic>
          </wp:inline>
        </w:drawing>
      </w:r>
    </w:p>
    <w:p w14:paraId="052A5684" w14:textId="77777777" w:rsidR="006F4E16" w:rsidRPr="00AB7159" w:rsidRDefault="006F4E16" w:rsidP="00ED29A0">
      <w:pPr>
        <w:rPr>
          <w:rFonts w:ascii="Arial" w:hAnsi="Arial" w:cs="Arial"/>
          <w:sz w:val="20"/>
          <w:szCs w:val="20"/>
          <w:lang w:val="en-GB"/>
        </w:rPr>
      </w:pPr>
    </w:p>
    <w:p w14:paraId="681FFD40" w14:textId="085BD4AB" w:rsidR="00ED29A0" w:rsidRPr="00AB7159" w:rsidRDefault="00ED29A0" w:rsidP="00ED29A0">
      <w:pPr>
        <w:rPr>
          <w:rFonts w:ascii="Arial" w:hAnsi="Arial" w:cs="Arial"/>
          <w:sz w:val="20"/>
          <w:szCs w:val="20"/>
          <w:lang w:val="en-GB"/>
        </w:rPr>
      </w:pPr>
      <w:r w:rsidRPr="00AB7159">
        <w:rPr>
          <w:rFonts w:ascii="Arial" w:hAnsi="Arial" w:cs="Arial"/>
          <w:sz w:val="20"/>
          <w:szCs w:val="20"/>
          <w:lang w:val="en-GB"/>
        </w:rPr>
        <w:t xml:space="preserve">We will look forward to hearing from other Parties’ views and seeing technical reports which will be prepared by the secretariat to complete our mandates in </w:t>
      </w:r>
      <w:proofErr w:type="spellStart"/>
      <w:r w:rsidRPr="00AB7159">
        <w:rPr>
          <w:rFonts w:ascii="Arial" w:hAnsi="Arial" w:cs="Arial"/>
          <w:sz w:val="20"/>
          <w:szCs w:val="20"/>
          <w:lang w:val="en-GB"/>
        </w:rPr>
        <w:t>Sharm</w:t>
      </w:r>
      <w:proofErr w:type="spellEnd"/>
      <w:r w:rsidRPr="00AB7159">
        <w:rPr>
          <w:rFonts w:ascii="Arial" w:hAnsi="Arial" w:cs="Arial"/>
          <w:sz w:val="20"/>
          <w:szCs w:val="20"/>
          <w:lang w:val="en-GB"/>
        </w:rPr>
        <w:t xml:space="preserve"> El-Sheikh for quick start of the cooperative approaches under the Article 6 of the Paris Agreement.</w:t>
      </w:r>
    </w:p>
    <w:p w14:paraId="2AF60758" w14:textId="5039D4B5" w:rsidR="00ED29A0" w:rsidRPr="00AB7159" w:rsidRDefault="00ED29A0" w:rsidP="001B43A2">
      <w:pPr>
        <w:rPr>
          <w:rFonts w:ascii="Arial" w:hAnsi="Arial" w:cs="Arial"/>
          <w:sz w:val="20"/>
          <w:szCs w:val="20"/>
          <w:lang w:val="de-DE"/>
        </w:rPr>
      </w:pPr>
    </w:p>
    <w:p w14:paraId="5669C487" w14:textId="77777777" w:rsidR="003A3010" w:rsidRPr="00AB7159" w:rsidRDefault="003A3010">
      <w:pPr>
        <w:widowControl/>
        <w:wordWrap/>
        <w:autoSpaceDE/>
        <w:autoSpaceDN/>
        <w:rPr>
          <w:rFonts w:ascii="Arial" w:hAnsi="Arial" w:cs="Arial"/>
          <w:b/>
          <w:bCs/>
          <w:sz w:val="20"/>
          <w:szCs w:val="20"/>
          <w:lang w:val="de-DE"/>
        </w:rPr>
      </w:pPr>
      <w:r w:rsidRPr="00AB7159">
        <w:rPr>
          <w:rFonts w:ascii="Arial" w:hAnsi="Arial" w:cs="Arial"/>
          <w:b/>
          <w:bCs/>
          <w:sz w:val="20"/>
          <w:szCs w:val="20"/>
          <w:lang w:val="de-DE"/>
        </w:rPr>
        <w:br w:type="page"/>
      </w:r>
    </w:p>
    <w:p w14:paraId="55A21259" w14:textId="6D7902B5" w:rsidR="008D25BF" w:rsidRPr="00413E12" w:rsidRDefault="008D25BF" w:rsidP="008D25BF">
      <w:pPr>
        <w:pStyle w:val="a5"/>
        <w:numPr>
          <w:ilvl w:val="0"/>
          <w:numId w:val="3"/>
        </w:numPr>
        <w:ind w:leftChars="0"/>
        <w:rPr>
          <w:rFonts w:ascii="Arial" w:hAnsi="Arial" w:cs="Arial"/>
          <w:b/>
          <w:bCs/>
          <w:sz w:val="26"/>
          <w:szCs w:val="26"/>
          <w:lang w:val="de-DE"/>
        </w:rPr>
      </w:pPr>
      <w:r w:rsidRPr="00413E12">
        <w:rPr>
          <w:rFonts w:ascii="Arial" w:hAnsi="Arial" w:cs="Arial"/>
          <w:b/>
          <w:bCs/>
          <w:sz w:val="26"/>
          <w:szCs w:val="26"/>
          <w:lang w:val="de-DE"/>
        </w:rPr>
        <w:lastRenderedPageBreak/>
        <w:t>Reporting</w:t>
      </w:r>
    </w:p>
    <w:p w14:paraId="1AC24DDA" w14:textId="77777777" w:rsidR="00AB7159" w:rsidRDefault="00AB7159" w:rsidP="00B55ABF">
      <w:pPr>
        <w:widowControl/>
        <w:wordWrap/>
        <w:autoSpaceDE/>
        <w:autoSpaceDN/>
        <w:rPr>
          <w:rFonts w:ascii="Arial" w:hAnsi="Arial" w:cs="Arial"/>
          <w:b/>
          <w:bCs/>
          <w:sz w:val="20"/>
          <w:szCs w:val="20"/>
          <w:lang w:val="en-GB"/>
        </w:rPr>
      </w:pPr>
    </w:p>
    <w:p w14:paraId="63CB45C3" w14:textId="7F80B01C" w:rsidR="00914F49" w:rsidRPr="00CD6162" w:rsidRDefault="00914F49" w:rsidP="00914F49">
      <w:pPr>
        <w:pStyle w:val="a5"/>
        <w:widowControl/>
        <w:numPr>
          <w:ilvl w:val="1"/>
          <w:numId w:val="3"/>
        </w:numPr>
        <w:wordWrap/>
        <w:autoSpaceDE/>
        <w:autoSpaceDN/>
        <w:ind w:leftChars="0"/>
        <w:rPr>
          <w:rFonts w:ascii="Arial" w:hAnsi="Arial" w:cs="Arial"/>
          <w:b/>
          <w:bCs/>
          <w:color w:val="000000" w:themeColor="text1"/>
          <w:sz w:val="24"/>
          <w:lang w:val="en-GB"/>
        </w:rPr>
      </w:pPr>
      <w:r w:rsidRPr="00CD6162">
        <w:rPr>
          <w:rFonts w:ascii="Arial" w:hAnsi="Arial" w:cs="Arial"/>
          <w:b/>
          <w:bCs/>
          <w:color w:val="000000" w:themeColor="text1"/>
          <w:sz w:val="24"/>
          <w:lang w:val="en-GB"/>
        </w:rPr>
        <w:t>General Approaches in regard to Tables and Outlines</w:t>
      </w:r>
    </w:p>
    <w:p w14:paraId="5D7068DF" w14:textId="56C878B3" w:rsidR="00BC16C5" w:rsidRPr="00CD6162" w:rsidRDefault="00441D46" w:rsidP="00BC16C5">
      <w:pPr>
        <w:widowControl/>
        <w:wordWrap/>
        <w:autoSpaceDE/>
        <w:autoSpaceDN/>
        <w:rPr>
          <w:rFonts w:ascii="Arial" w:hAnsi="Arial" w:cs="Arial"/>
          <w:color w:val="000000" w:themeColor="text1"/>
          <w:sz w:val="20"/>
          <w:szCs w:val="20"/>
          <w:lang w:val="en-GB"/>
        </w:rPr>
      </w:pPr>
      <w:r w:rsidRPr="00CD6162">
        <w:rPr>
          <w:rFonts w:ascii="Arial" w:hAnsi="Arial" w:cs="Arial"/>
          <w:color w:val="000000" w:themeColor="text1"/>
          <w:sz w:val="20"/>
          <w:szCs w:val="20"/>
          <w:lang w:val="en-GB"/>
        </w:rPr>
        <w:t xml:space="preserve">The </w:t>
      </w:r>
      <w:r w:rsidR="00BC16C5" w:rsidRPr="00CD6162">
        <w:rPr>
          <w:rFonts w:ascii="Arial" w:hAnsi="Arial" w:cs="Arial"/>
          <w:color w:val="000000" w:themeColor="text1"/>
          <w:sz w:val="20"/>
          <w:szCs w:val="20"/>
          <w:lang w:val="en-GB"/>
        </w:rPr>
        <w:t>ROK thinks that developing the tables for the information requested in chapter IV of the A6.2 guidance is a simple, straightforward exercise. The task is to create reporting spaces in tabular format for the set of information clearly defined in the A6.2 guidance. The work, of course, should be done with care, in full accordance with the 6.2 guidance. However, it is, in our view, rather mechanical in nature.</w:t>
      </w:r>
    </w:p>
    <w:p w14:paraId="3C741099" w14:textId="77777777" w:rsidR="00BC16C5" w:rsidRPr="00CD6162" w:rsidRDefault="00BC16C5" w:rsidP="00BC16C5">
      <w:pPr>
        <w:widowControl/>
        <w:wordWrap/>
        <w:autoSpaceDE/>
        <w:autoSpaceDN/>
        <w:rPr>
          <w:rFonts w:ascii="Arial" w:hAnsi="Arial" w:cs="Arial"/>
          <w:color w:val="000000" w:themeColor="text1"/>
          <w:sz w:val="20"/>
          <w:szCs w:val="20"/>
          <w:lang w:val="en-GB"/>
        </w:rPr>
      </w:pPr>
      <w:r w:rsidRPr="00CD6162">
        <w:rPr>
          <w:rFonts w:ascii="Arial" w:hAnsi="Arial" w:cs="Arial"/>
          <w:color w:val="000000" w:themeColor="text1"/>
          <w:sz w:val="20"/>
          <w:szCs w:val="20"/>
          <w:lang w:val="en-GB"/>
        </w:rPr>
        <w:t xml:space="preserve">One key issue that Parties need to agree on is the scope of the work. Parties have the option of developing tables for the entirety of chapter IV, including both the quantitative and qualitative information. Parties could also opt to create tables for the quantitative information only, which is more suitable for tabula format. </w:t>
      </w:r>
    </w:p>
    <w:p w14:paraId="4BAD9267" w14:textId="494965AD" w:rsidR="00BC16C5" w:rsidRPr="00BC16C5" w:rsidRDefault="00441D46" w:rsidP="00BC16C5">
      <w:pPr>
        <w:widowControl/>
        <w:wordWrap/>
        <w:autoSpaceDE/>
        <w:autoSpaceDN/>
        <w:rPr>
          <w:rFonts w:ascii="Arial" w:hAnsi="Arial" w:cs="Arial"/>
          <w:sz w:val="20"/>
          <w:szCs w:val="20"/>
          <w:lang w:val="en-GB"/>
        </w:rPr>
      </w:pPr>
      <w:r w:rsidRPr="00CD6162">
        <w:rPr>
          <w:rFonts w:ascii="Arial" w:hAnsi="Arial" w:cs="Arial"/>
          <w:color w:val="000000" w:themeColor="text1"/>
          <w:sz w:val="20"/>
          <w:szCs w:val="20"/>
          <w:lang w:val="en-GB"/>
        </w:rPr>
        <w:t xml:space="preserve">The </w:t>
      </w:r>
      <w:r w:rsidR="00BC16C5" w:rsidRPr="00CD6162">
        <w:rPr>
          <w:rFonts w:ascii="Arial" w:hAnsi="Arial" w:cs="Arial"/>
          <w:color w:val="000000" w:themeColor="text1"/>
          <w:sz w:val="20"/>
          <w:szCs w:val="20"/>
          <w:lang w:val="en-GB"/>
        </w:rPr>
        <w:t xml:space="preserve">ROK thinks that there </w:t>
      </w:r>
      <w:r w:rsidR="00BC16C5" w:rsidRPr="00BC16C5">
        <w:rPr>
          <w:rFonts w:ascii="Arial" w:hAnsi="Arial" w:cs="Arial"/>
          <w:sz w:val="20"/>
          <w:szCs w:val="20"/>
          <w:lang w:val="en-GB"/>
        </w:rPr>
        <w:t xml:space="preserve">are considerable merits in developing tables for the entirety of chapter IV. First, such an approach will facilitate and enhance completeness of reporting by Parties. This approach could enable crosschecking between tables and reports for completeness of reporting, by asking Parties to identify the specific reporting place for those pieces of information that are not reported through the tables, as exemplified in the reporting tables for biennial transparency reports (also see the tables contained in Annex I of this submission). Second, Parties could avoid the difficult task of distinguishing quantitative information from qualitative information. Distilling quantitative information from the set of information defined in chapter IV may well prove to be much trickier than expected, given the diversity of NDCs and the ambivalence of certain information. And relatedly, by bypassing the fiddly distillation process, Parties could minimize complexities, keeping the task purely mechanical. Parties could, therefore, carry out the task with great efficiency and minimum friction. </w:t>
      </w:r>
    </w:p>
    <w:p w14:paraId="68200C9B" w14:textId="5D83FE4E" w:rsidR="00BC16C5" w:rsidRDefault="00BC16C5" w:rsidP="00BC16C5">
      <w:pPr>
        <w:widowControl/>
        <w:wordWrap/>
        <w:autoSpaceDE/>
        <w:autoSpaceDN/>
        <w:rPr>
          <w:rFonts w:ascii="Arial" w:hAnsi="Arial" w:cs="Arial"/>
          <w:sz w:val="20"/>
          <w:szCs w:val="20"/>
          <w:lang w:val="en-GB"/>
        </w:rPr>
      </w:pPr>
      <w:r w:rsidRPr="00BC16C5">
        <w:rPr>
          <w:rFonts w:ascii="Arial" w:hAnsi="Arial" w:cs="Arial"/>
          <w:sz w:val="20"/>
          <w:szCs w:val="20"/>
          <w:lang w:val="en-GB"/>
        </w:rPr>
        <w:t xml:space="preserve">The advantages of reporting both quantitative and qualitative information through tabula format have been well demonstrated by Parties’ NDCs. Many Parties have submitted their NDCs in tabular format, and NDCs in tabular format have proven to be great in terms of clarity, transparency and understanding.  </w:t>
      </w:r>
      <w:r w:rsidR="00446CC6" w:rsidRPr="00CD6162">
        <w:rPr>
          <w:rFonts w:ascii="Arial" w:hAnsi="Arial" w:cs="Arial"/>
          <w:color w:val="000000" w:themeColor="text1"/>
          <w:sz w:val="20"/>
          <w:szCs w:val="20"/>
          <w:lang w:val="en-GB"/>
        </w:rPr>
        <w:t xml:space="preserve">The </w:t>
      </w:r>
      <w:r w:rsidRPr="00CD6162">
        <w:rPr>
          <w:rFonts w:ascii="Arial" w:hAnsi="Arial" w:cs="Arial" w:hint="eastAsia"/>
          <w:color w:val="000000" w:themeColor="text1"/>
          <w:sz w:val="20"/>
          <w:szCs w:val="20"/>
          <w:lang w:val="en-GB"/>
        </w:rPr>
        <w:t>ROK</w:t>
      </w:r>
      <w:r w:rsidRPr="00CD6162">
        <w:rPr>
          <w:rFonts w:ascii="Arial" w:hAnsi="Arial" w:cs="Arial"/>
          <w:color w:val="000000" w:themeColor="text1"/>
          <w:sz w:val="20"/>
          <w:szCs w:val="20"/>
          <w:lang w:val="en-GB"/>
        </w:rPr>
        <w:t xml:space="preserve"> hence </w:t>
      </w:r>
      <w:r w:rsidRPr="00BC16C5">
        <w:rPr>
          <w:rFonts w:ascii="Arial" w:hAnsi="Arial" w:cs="Arial"/>
          <w:sz w:val="20"/>
          <w:szCs w:val="20"/>
          <w:lang w:val="en-GB"/>
        </w:rPr>
        <w:t xml:space="preserve">thinks that the above approach is a sensible and practical way to proceed with the task. </w:t>
      </w:r>
    </w:p>
    <w:p w14:paraId="00F4A0E9" w14:textId="43CDAED6" w:rsidR="00441D46" w:rsidRPr="00CD6162" w:rsidRDefault="00441D46" w:rsidP="00BC16C5">
      <w:pPr>
        <w:widowControl/>
        <w:wordWrap/>
        <w:autoSpaceDE/>
        <w:autoSpaceDN/>
        <w:rPr>
          <w:rFonts w:ascii="Arial" w:hAnsi="Arial" w:cs="Arial"/>
          <w:color w:val="000000" w:themeColor="text1"/>
          <w:sz w:val="20"/>
          <w:szCs w:val="20"/>
          <w:lang w:val="en-GB"/>
        </w:rPr>
      </w:pPr>
    </w:p>
    <w:p w14:paraId="0BC05FFC" w14:textId="77777777" w:rsidR="00441D46" w:rsidRPr="00CD6162" w:rsidRDefault="00441D46" w:rsidP="00441D46">
      <w:pPr>
        <w:rPr>
          <w:rFonts w:ascii="Arial" w:hAnsi="Arial" w:cs="Arial"/>
          <w:color w:val="000000" w:themeColor="text1"/>
          <w:sz w:val="20"/>
          <w:szCs w:val="22"/>
        </w:rPr>
      </w:pPr>
      <w:r w:rsidRPr="00CD6162">
        <w:rPr>
          <w:rFonts w:ascii="Arial" w:hAnsi="Arial" w:cs="Arial"/>
          <w:color w:val="000000" w:themeColor="text1"/>
          <w:sz w:val="20"/>
          <w:szCs w:val="22"/>
        </w:rPr>
        <w:t>The key issue concerning options for the outlines for the information requested in chapter IV of the 6.2 guidance is the level of specificity. The outlines could be simplified condensations of chapter IV, grouping the various pieces of information into a few broad categories à la the outline of the biennial transparency report (Annex IV of Decision 5/CMA.3). They could also be detailed replicas of chapter IV in the manner of the outline of the national inventory document (Annex V of Decision 5/CAM.3).</w:t>
      </w:r>
    </w:p>
    <w:p w14:paraId="6E2F0D0D" w14:textId="4E39EB1C" w:rsidR="00441D46" w:rsidRPr="00CD6162" w:rsidRDefault="00441D46" w:rsidP="00441D46">
      <w:pPr>
        <w:rPr>
          <w:rFonts w:ascii="Arial" w:hAnsi="Arial" w:cs="Arial"/>
          <w:color w:val="000000" w:themeColor="text1"/>
          <w:sz w:val="20"/>
          <w:szCs w:val="22"/>
        </w:rPr>
      </w:pPr>
      <w:r w:rsidRPr="00CD6162">
        <w:rPr>
          <w:rFonts w:ascii="Arial" w:hAnsi="Arial" w:cs="Arial"/>
          <w:color w:val="000000" w:themeColor="text1"/>
          <w:sz w:val="20"/>
          <w:szCs w:val="22"/>
        </w:rPr>
        <w:t xml:space="preserve">The </w:t>
      </w:r>
      <w:r w:rsidR="00446CC6" w:rsidRPr="00CD6162">
        <w:rPr>
          <w:rFonts w:ascii="Arial" w:hAnsi="Arial" w:cs="Arial"/>
          <w:color w:val="000000" w:themeColor="text1"/>
          <w:sz w:val="20"/>
          <w:szCs w:val="22"/>
        </w:rPr>
        <w:t xml:space="preserve">ROK </w:t>
      </w:r>
      <w:r w:rsidRPr="00CD6162">
        <w:rPr>
          <w:rFonts w:ascii="Arial" w:hAnsi="Arial" w:cs="Arial"/>
          <w:color w:val="000000" w:themeColor="text1"/>
          <w:sz w:val="20"/>
          <w:szCs w:val="22"/>
        </w:rPr>
        <w:t xml:space="preserve">thinks that simplified outlines serve little purpose. A key merit of detailed outlines is that they could help and encourage not only complete reporting but also more organized reporting by Parties. The various pieces of information defined in chapter IV are quite distinct from one another and as such need to be reported distinctively. Detailed outlines ensure that each distinct piece of information will be reported distinctively, thereby enhancing clarity, transparency and understanding of the reported information. The </w:t>
      </w:r>
      <w:r w:rsidR="00446CC6" w:rsidRPr="00CD6162">
        <w:rPr>
          <w:rFonts w:ascii="Arial" w:hAnsi="Arial" w:cs="Arial"/>
          <w:color w:val="000000" w:themeColor="text1"/>
          <w:sz w:val="20"/>
          <w:szCs w:val="22"/>
        </w:rPr>
        <w:t>ROK</w:t>
      </w:r>
      <w:r w:rsidRPr="00CD6162">
        <w:rPr>
          <w:rFonts w:ascii="Arial" w:hAnsi="Arial" w:cs="Arial"/>
          <w:color w:val="000000" w:themeColor="text1"/>
          <w:sz w:val="20"/>
          <w:szCs w:val="22"/>
        </w:rPr>
        <w:t xml:space="preserve"> prefers, therefore, the option of developing detailed outlines in the manner of the outline of the national inventory document, as mentioned above. </w:t>
      </w:r>
    </w:p>
    <w:p w14:paraId="1E14A901" w14:textId="77777777" w:rsidR="00441D46" w:rsidRPr="00441D46" w:rsidRDefault="00441D46" w:rsidP="00441D46">
      <w:pPr>
        <w:rPr>
          <w:rFonts w:ascii="Arial" w:hAnsi="Arial" w:cs="Arial"/>
          <w:sz w:val="20"/>
          <w:szCs w:val="22"/>
        </w:rPr>
      </w:pPr>
      <w:r w:rsidRPr="00441D46">
        <w:rPr>
          <w:rFonts w:ascii="Arial" w:hAnsi="Arial" w:cs="Arial"/>
          <w:sz w:val="20"/>
          <w:szCs w:val="22"/>
        </w:rPr>
        <w:br w:type="page"/>
      </w:r>
    </w:p>
    <w:p w14:paraId="44B91751" w14:textId="77777777" w:rsidR="00441D46" w:rsidRPr="00441D46" w:rsidRDefault="00441D46" w:rsidP="00BC16C5">
      <w:pPr>
        <w:widowControl/>
        <w:wordWrap/>
        <w:autoSpaceDE/>
        <w:autoSpaceDN/>
        <w:rPr>
          <w:rFonts w:ascii="Arial" w:hAnsi="Arial" w:cs="Arial"/>
          <w:sz w:val="20"/>
          <w:szCs w:val="20"/>
        </w:rPr>
      </w:pPr>
    </w:p>
    <w:p w14:paraId="31562607" w14:textId="77777777" w:rsidR="00BC16C5" w:rsidRDefault="00BC16C5" w:rsidP="00BC16C5">
      <w:pPr>
        <w:widowControl/>
        <w:wordWrap/>
        <w:autoSpaceDE/>
        <w:autoSpaceDN/>
        <w:rPr>
          <w:rFonts w:ascii="Arial" w:hAnsi="Arial" w:cs="Arial"/>
          <w:sz w:val="20"/>
          <w:szCs w:val="20"/>
          <w:lang w:val="en-GB"/>
        </w:rPr>
      </w:pPr>
    </w:p>
    <w:p w14:paraId="0AFAA9E3" w14:textId="2ECEDE75" w:rsidR="00796134" w:rsidRPr="00CD6162" w:rsidRDefault="00796134" w:rsidP="00B55ABF">
      <w:pPr>
        <w:widowControl/>
        <w:wordWrap/>
        <w:autoSpaceDE/>
        <w:autoSpaceDN/>
        <w:rPr>
          <w:rFonts w:ascii="Arial" w:hAnsi="Arial" w:cs="Arial"/>
          <w:b/>
          <w:bCs/>
          <w:color w:val="000000" w:themeColor="text1"/>
          <w:sz w:val="20"/>
          <w:szCs w:val="20"/>
          <w:lang w:val="en-GB"/>
        </w:rPr>
      </w:pPr>
    </w:p>
    <w:p w14:paraId="2436C92B" w14:textId="6DE5BD1B" w:rsidR="00B55ABF" w:rsidRPr="00CD6162" w:rsidRDefault="00914F49" w:rsidP="00914F49">
      <w:pPr>
        <w:pStyle w:val="a5"/>
        <w:widowControl/>
        <w:wordWrap/>
        <w:autoSpaceDE/>
        <w:autoSpaceDN/>
        <w:ind w:leftChars="0" w:left="1200"/>
        <w:rPr>
          <w:rFonts w:ascii="Arial" w:hAnsi="Arial" w:cs="Arial"/>
          <w:b/>
          <w:bCs/>
          <w:color w:val="000000" w:themeColor="text1"/>
          <w:sz w:val="24"/>
          <w:szCs w:val="20"/>
          <w:lang w:val="en-GB"/>
        </w:rPr>
      </w:pPr>
      <w:r w:rsidRPr="00CD6162">
        <w:rPr>
          <w:rFonts w:ascii="Arial" w:hAnsi="Arial" w:cs="Arial"/>
          <w:b/>
          <w:bCs/>
          <w:color w:val="000000" w:themeColor="text1"/>
          <w:sz w:val="24"/>
          <w:szCs w:val="20"/>
          <w:lang w:val="en-GB"/>
        </w:rPr>
        <w:t xml:space="preserve">B. </w:t>
      </w:r>
      <w:r w:rsidR="00B55ABF" w:rsidRPr="00CD6162">
        <w:rPr>
          <w:rFonts w:ascii="Arial" w:hAnsi="Arial" w:cs="Arial"/>
          <w:b/>
          <w:bCs/>
          <w:color w:val="000000" w:themeColor="text1"/>
          <w:sz w:val="24"/>
          <w:szCs w:val="20"/>
          <w:lang w:val="en-GB"/>
        </w:rPr>
        <w:t>Initial report</w:t>
      </w:r>
    </w:p>
    <w:p w14:paraId="298072F3" w14:textId="77777777" w:rsidR="00AB7159" w:rsidRPr="00CD6162" w:rsidRDefault="00AB7159" w:rsidP="00B55ABF">
      <w:pPr>
        <w:widowControl/>
        <w:wordWrap/>
        <w:autoSpaceDE/>
        <w:autoSpaceDN/>
        <w:rPr>
          <w:rFonts w:ascii="Arial" w:hAnsi="Arial" w:cs="Arial"/>
          <w:color w:val="000000" w:themeColor="text1"/>
          <w:sz w:val="20"/>
          <w:szCs w:val="20"/>
          <w:lang w:val="en-GB"/>
        </w:rPr>
      </w:pPr>
    </w:p>
    <w:p w14:paraId="64D04C1D" w14:textId="77777777" w:rsidR="00B55ABF" w:rsidRPr="00CD6162" w:rsidRDefault="00B55ABF" w:rsidP="00B55ABF">
      <w:pPr>
        <w:widowControl/>
        <w:wordWrap/>
        <w:autoSpaceDE/>
        <w:autoSpaceDN/>
        <w:rPr>
          <w:rFonts w:ascii="Arial" w:hAnsi="Arial" w:cs="Arial"/>
          <w:color w:val="000000" w:themeColor="text1"/>
          <w:sz w:val="20"/>
          <w:szCs w:val="20"/>
          <w:lang w:val="en-GB"/>
        </w:rPr>
      </w:pPr>
      <w:r w:rsidRPr="00CD6162">
        <w:rPr>
          <w:rFonts w:ascii="Arial" w:hAnsi="Arial" w:cs="Arial"/>
          <w:color w:val="000000" w:themeColor="text1"/>
          <w:sz w:val="20"/>
          <w:szCs w:val="20"/>
          <w:lang w:val="en-GB"/>
        </w:rPr>
        <w:t>As per paragraph 18 of the A6.2 guidance, an initial report is composed by Party-level information (paragraph 18(a)-(f)) and cooperative approach-level information (paragraph 18(g)-(</w:t>
      </w:r>
      <w:proofErr w:type="spellStart"/>
      <w:r w:rsidRPr="00CD6162">
        <w:rPr>
          <w:rFonts w:ascii="Arial" w:hAnsi="Arial" w:cs="Arial"/>
          <w:color w:val="000000" w:themeColor="text1"/>
          <w:sz w:val="20"/>
          <w:szCs w:val="20"/>
          <w:lang w:val="en-GB"/>
        </w:rPr>
        <w:t>i</w:t>
      </w:r>
      <w:proofErr w:type="spellEnd"/>
      <w:r w:rsidRPr="00CD6162">
        <w:rPr>
          <w:rFonts w:ascii="Arial" w:hAnsi="Arial" w:cs="Arial"/>
          <w:color w:val="000000" w:themeColor="text1"/>
          <w:sz w:val="20"/>
          <w:szCs w:val="20"/>
          <w:lang w:val="en-GB"/>
        </w:rPr>
        <w:t>)). In case of information on each cooperative approach, each participating Party shall submit the information in an updated initial report and for inclusion in the centralized accounting and reporting platform (CARP) and include it in the next biennial transparency report (BTR) due pursuant to paragraph 19 of the A6.2 guidance.</w:t>
      </w:r>
    </w:p>
    <w:p w14:paraId="22E0D9DE" w14:textId="40B68E4E" w:rsidR="00B55ABF" w:rsidRPr="00CD6162" w:rsidRDefault="00B55ABF" w:rsidP="00B55ABF">
      <w:pPr>
        <w:widowControl/>
        <w:wordWrap/>
        <w:autoSpaceDE/>
        <w:autoSpaceDN/>
        <w:rPr>
          <w:rFonts w:ascii="Arial" w:hAnsi="Arial" w:cs="Arial"/>
          <w:strike/>
          <w:color w:val="000000" w:themeColor="text1"/>
          <w:sz w:val="20"/>
          <w:szCs w:val="20"/>
          <w:lang w:val="en-GB"/>
        </w:rPr>
      </w:pPr>
      <w:r w:rsidRPr="00CD6162">
        <w:rPr>
          <w:rFonts w:ascii="Arial" w:hAnsi="Arial" w:cs="Arial"/>
          <w:color w:val="000000" w:themeColor="text1"/>
          <w:sz w:val="20"/>
          <w:szCs w:val="20"/>
          <w:lang w:val="en-GB"/>
        </w:rPr>
        <w:t xml:space="preserve">Since </w:t>
      </w:r>
      <w:r w:rsidR="00675D68" w:rsidRPr="00CD6162">
        <w:rPr>
          <w:rFonts w:ascii="Arial" w:hAnsi="Arial" w:cs="Arial"/>
          <w:color w:val="000000" w:themeColor="text1"/>
          <w:sz w:val="20"/>
          <w:szCs w:val="20"/>
          <w:lang w:val="en-GB"/>
        </w:rPr>
        <w:t xml:space="preserve">the </w:t>
      </w:r>
      <w:r w:rsidRPr="00CD6162">
        <w:rPr>
          <w:rFonts w:ascii="Arial" w:hAnsi="Arial" w:cs="Arial"/>
          <w:color w:val="000000" w:themeColor="text1"/>
          <w:sz w:val="20"/>
          <w:szCs w:val="20"/>
          <w:lang w:val="en-GB"/>
        </w:rPr>
        <w:t xml:space="preserve">information </w:t>
      </w:r>
      <w:r w:rsidR="00675D68" w:rsidRPr="00CD6162">
        <w:rPr>
          <w:rFonts w:ascii="Arial" w:hAnsi="Arial" w:cs="Arial"/>
          <w:color w:val="000000" w:themeColor="text1"/>
          <w:sz w:val="20"/>
          <w:szCs w:val="20"/>
          <w:lang w:val="en-GB"/>
        </w:rPr>
        <w:t xml:space="preserve">to be reported in </w:t>
      </w:r>
      <w:r w:rsidRPr="00CD6162">
        <w:rPr>
          <w:rFonts w:ascii="Arial" w:hAnsi="Arial" w:cs="Arial"/>
          <w:color w:val="000000" w:themeColor="text1"/>
          <w:sz w:val="20"/>
          <w:szCs w:val="20"/>
          <w:lang w:val="en-GB"/>
        </w:rPr>
        <w:t xml:space="preserve">the initial report </w:t>
      </w:r>
      <w:r w:rsidR="00DF56C4" w:rsidRPr="00CD6162">
        <w:rPr>
          <w:rFonts w:ascii="Arial" w:hAnsi="Arial" w:cs="Arial" w:hint="eastAsia"/>
          <w:color w:val="000000" w:themeColor="text1"/>
          <w:sz w:val="20"/>
          <w:szCs w:val="20"/>
          <w:lang w:val="en-GB"/>
        </w:rPr>
        <w:t>c</w:t>
      </w:r>
      <w:r w:rsidR="00DF56C4" w:rsidRPr="00CD6162">
        <w:rPr>
          <w:rFonts w:ascii="Arial" w:hAnsi="Arial" w:cs="Arial"/>
          <w:color w:val="000000" w:themeColor="text1"/>
          <w:sz w:val="20"/>
          <w:szCs w:val="20"/>
          <w:lang w:val="en-GB"/>
        </w:rPr>
        <w:t xml:space="preserve">onsists </w:t>
      </w:r>
      <w:r w:rsidRPr="00CD6162">
        <w:rPr>
          <w:rFonts w:ascii="Arial" w:hAnsi="Arial" w:cs="Arial"/>
          <w:color w:val="000000" w:themeColor="text1"/>
          <w:sz w:val="20"/>
          <w:szCs w:val="20"/>
          <w:lang w:val="en-GB"/>
        </w:rPr>
        <w:t xml:space="preserve">of both qualitative (narrative) and quantitative one, the ROK sees that some </w:t>
      </w:r>
      <w:r w:rsidR="00675D68" w:rsidRPr="00CD6162">
        <w:rPr>
          <w:rFonts w:ascii="Arial" w:hAnsi="Arial" w:cs="Arial"/>
          <w:color w:val="000000" w:themeColor="text1"/>
          <w:sz w:val="20"/>
          <w:szCs w:val="20"/>
          <w:lang w:val="en-GB"/>
        </w:rPr>
        <w:t xml:space="preserve">level </w:t>
      </w:r>
      <w:r w:rsidRPr="00CD6162">
        <w:rPr>
          <w:rFonts w:ascii="Arial" w:hAnsi="Arial" w:cs="Arial"/>
          <w:color w:val="000000" w:themeColor="text1"/>
          <w:sz w:val="20"/>
          <w:szCs w:val="20"/>
          <w:lang w:val="en-GB"/>
        </w:rPr>
        <w:t xml:space="preserve">of flexibility should be provided </w:t>
      </w:r>
      <w:r w:rsidR="00675D68" w:rsidRPr="00CD6162">
        <w:rPr>
          <w:rFonts w:ascii="Arial" w:hAnsi="Arial" w:cs="Arial"/>
          <w:color w:val="000000" w:themeColor="text1"/>
          <w:sz w:val="20"/>
          <w:szCs w:val="20"/>
          <w:lang w:val="en-GB"/>
        </w:rPr>
        <w:t xml:space="preserve">to the </w:t>
      </w:r>
      <w:r w:rsidRPr="00CD6162">
        <w:rPr>
          <w:rFonts w:ascii="Arial" w:hAnsi="Arial" w:cs="Arial"/>
          <w:color w:val="000000" w:themeColor="text1"/>
          <w:sz w:val="20"/>
          <w:szCs w:val="20"/>
          <w:lang w:val="en-GB"/>
        </w:rPr>
        <w:t xml:space="preserve">outline of the initial report. </w:t>
      </w:r>
      <w:r w:rsidR="00675D68" w:rsidRPr="00CD6162">
        <w:rPr>
          <w:rFonts w:ascii="Arial" w:hAnsi="Arial" w:cs="Arial"/>
          <w:color w:val="000000" w:themeColor="text1"/>
          <w:sz w:val="20"/>
          <w:szCs w:val="20"/>
          <w:lang w:val="en-GB"/>
        </w:rPr>
        <w:t xml:space="preserve">A </w:t>
      </w:r>
      <w:r w:rsidR="00AE4288" w:rsidRPr="00CD6162">
        <w:rPr>
          <w:rFonts w:ascii="Arial" w:hAnsi="Arial" w:cs="Arial"/>
          <w:color w:val="000000" w:themeColor="text1"/>
          <w:sz w:val="20"/>
          <w:szCs w:val="20"/>
          <w:lang w:val="en-GB"/>
        </w:rPr>
        <w:t>table for</w:t>
      </w:r>
      <w:r w:rsidR="00523787" w:rsidRPr="00CD6162">
        <w:rPr>
          <w:rFonts w:ascii="Arial" w:hAnsi="Arial" w:cs="Arial"/>
          <w:color w:val="000000" w:themeColor="text1"/>
          <w:sz w:val="20"/>
          <w:szCs w:val="20"/>
          <w:lang w:val="en-GB"/>
        </w:rPr>
        <w:t xml:space="preserve"> the initial report should accommodate all the information referred to in paragraph 18 of the A6.2 guidance as </w:t>
      </w:r>
      <w:r w:rsidR="00675D68" w:rsidRPr="00CD6162">
        <w:rPr>
          <w:rFonts w:ascii="Arial" w:hAnsi="Arial" w:cs="Arial"/>
          <w:color w:val="000000" w:themeColor="text1"/>
          <w:sz w:val="20"/>
          <w:szCs w:val="20"/>
          <w:lang w:val="en-GB"/>
        </w:rPr>
        <w:t xml:space="preserve">shown in the </w:t>
      </w:r>
      <w:r w:rsidR="00C5215A" w:rsidRPr="00CD6162">
        <w:rPr>
          <w:rFonts w:ascii="Arial" w:hAnsi="Arial" w:cs="Arial" w:hint="eastAsia"/>
          <w:color w:val="000000" w:themeColor="text1"/>
          <w:sz w:val="20"/>
          <w:szCs w:val="20"/>
          <w:lang w:val="en-GB"/>
        </w:rPr>
        <w:t>table</w:t>
      </w:r>
      <w:r w:rsidR="00C5215A" w:rsidRPr="00CD6162">
        <w:rPr>
          <w:rFonts w:ascii="Arial" w:hAnsi="Arial" w:cs="Arial"/>
          <w:color w:val="000000" w:themeColor="text1"/>
          <w:sz w:val="20"/>
          <w:szCs w:val="20"/>
          <w:lang w:val="en-GB"/>
        </w:rPr>
        <w:t xml:space="preserve"> </w:t>
      </w:r>
      <w:r w:rsidR="00523787" w:rsidRPr="00CD6162">
        <w:rPr>
          <w:rFonts w:ascii="Arial" w:hAnsi="Arial" w:cs="Arial"/>
          <w:color w:val="000000" w:themeColor="text1"/>
          <w:sz w:val="20"/>
          <w:szCs w:val="20"/>
          <w:lang w:val="en-GB"/>
        </w:rPr>
        <w:t xml:space="preserve">1 below. </w:t>
      </w:r>
      <w:r w:rsidR="00C5215A" w:rsidRPr="00CD6162">
        <w:rPr>
          <w:rFonts w:ascii="Arial" w:hAnsi="Arial" w:cs="Arial"/>
          <w:color w:val="000000" w:themeColor="text1"/>
          <w:sz w:val="20"/>
          <w:szCs w:val="20"/>
          <w:lang w:val="en-GB"/>
        </w:rPr>
        <w:t xml:space="preserve">This table could </w:t>
      </w:r>
      <w:r w:rsidR="00675D68" w:rsidRPr="00CD6162">
        <w:rPr>
          <w:rFonts w:ascii="Arial" w:hAnsi="Arial" w:cs="Arial"/>
          <w:color w:val="000000" w:themeColor="text1"/>
          <w:sz w:val="20"/>
          <w:szCs w:val="20"/>
          <w:lang w:val="en-GB"/>
        </w:rPr>
        <w:t xml:space="preserve">enable crosschecking between tables and reports for completeness of reporting, providing </w:t>
      </w:r>
      <w:r w:rsidR="00C5215A" w:rsidRPr="00CD6162">
        <w:rPr>
          <w:rFonts w:ascii="Arial" w:hAnsi="Arial" w:cs="Arial"/>
          <w:color w:val="000000" w:themeColor="text1"/>
          <w:sz w:val="20"/>
          <w:szCs w:val="20"/>
          <w:lang w:val="en-GB"/>
        </w:rPr>
        <w:t xml:space="preserve">support </w:t>
      </w:r>
      <w:r w:rsidR="00337763" w:rsidRPr="00CD6162">
        <w:rPr>
          <w:rFonts w:ascii="Arial" w:hAnsi="Arial" w:cs="Arial"/>
          <w:color w:val="000000" w:themeColor="text1"/>
          <w:sz w:val="20"/>
          <w:szCs w:val="20"/>
          <w:lang w:val="en-GB"/>
        </w:rPr>
        <w:t xml:space="preserve">to </w:t>
      </w:r>
      <w:r w:rsidR="00C5215A" w:rsidRPr="00CD6162">
        <w:rPr>
          <w:rFonts w:ascii="Arial" w:hAnsi="Arial" w:cs="Arial"/>
          <w:color w:val="000000" w:themeColor="text1"/>
          <w:sz w:val="20"/>
          <w:szCs w:val="20"/>
          <w:lang w:val="en-GB"/>
        </w:rPr>
        <w:t>the Article 6 technical expert review (TER)</w:t>
      </w:r>
      <w:r w:rsidR="00337763" w:rsidRPr="00CD6162">
        <w:rPr>
          <w:rFonts w:ascii="Arial" w:hAnsi="Arial" w:cs="Arial"/>
          <w:color w:val="000000" w:themeColor="text1"/>
          <w:sz w:val="20"/>
          <w:szCs w:val="20"/>
          <w:lang w:val="en-GB"/>
        </w:rPr>
        <w:t>.</w:t>
      </w:r>
      <w:r w:rsidR="00CD6162" w:rsidRPr="00CD6162">
        <w:rPr>
          <w:rFonts w:ascii="Arial" w:hAnsi="Arial" w:cs="Arial"/>
          <w:color w:val="000000" w:themeColor="text1"/>
          <w:sz w:val="20"/>
          <w:szCs w:val="20"/>
          <w:lang w:val="en-GB"/>
        </w:rPr>
        <w:t xml:space="preserve"> </w:t>
      </w:r>
      <w:r w:rsidR="00523787" w:rsidRPr="00CD6162">
        <w:rPr>
          <w:rFonts w:ascii="Arial" w:hAnsi="Arial" w:cs="Arial"/>
          <w:color w:val="000000" w:themeColor="text1"/>
          <w:sz w:val="20"/>
          <w:szCs w:val="20"/>
          <w:lang w:val="en-GB"/>
        </w:rPr>
        <w:t xml:space="preserve">With this table as a basis, we also propose an outline of the initial report as </w:t>
      </w:r>
      <w:r w:rsidR="00337763" w:rsidRPr="00CD6162">
        <w:rPr>
          <w:rFonts w:ascii="Arial" w:hAnsi="Arial" w:cs="Arial"/>
          <w:color w:val="000000" w:themeColor="text1"/>
          <w:sz w:val="20"/>
          <w:szCs w:val="20"/>
          <w:lang w:val="en-GB"/>
        </w:rPr>
        <w:t xml:space="preserve">shown in </w:t>
      </w:r>
      <w:r w:rsidR="001B0843" w:rsidRPr="00CD6162">
        <w:rPr>
          <w:rFonts w:ascii="Arial" w:hAnsi="Arial" w:cs="Arial"/>
          <w:color w:val="000000" w:themeColor="text1"/>
          <w:sz w:val="20"/>
          <w:szCs w:val="20"/>
          <w:lang w:val="en-GB"/>
        </w:rPr>
        <w:t>Box</w:t>
      </w:r>
      <w:r w:rsidR="00523787" w:rsidRPr="00CD6162">
        <w:rPr>
          <w:rFonts w:ascii="Arial" w:hAnsi="Arial" w:cs="Arial"/>
          <w:color w:val="000000" w:themeColor="text1"/>
          <w:sz w:val="20"/>
          <w:szCs w:val="20"/>
          <w:lang w:val="en-GB"/>
        </w:rPr>
        <w:t xml:space="preserve"> </w:t>
      </w:r>
      <w:r w:rsidR="00523787" w:rsidRPr="00CD6162">
        <w:rPr>
          <w:rFonts w:ascii="맑은 고딕" w:eastAsia="맑은 고딕" w:hAnsi="맑은 고딕" w:cs="Arial" w:hint="eastAsia"/>
          <w:color w:val="000000" w:themeColor="text1"/>
          <w:sz w:val="20"/>
          <w:szCs w:val="20"/>
          <w:lang w:val="en-GB"/>
        </w:rPr>
        <w:t>Ⅰ</w:t>
      </w:r>
      <w:r w:rsidR="00523787" w:rsidRPr="00CD6162">
        <w:rPr>
          <w:rFonts w:ascii="Arial" w:hAnsi="Arial" w:cs="Arial"/>
          <w:color w:val="000000" w:themeColor="text1"/>
          <w:sz w:val="20"/>
          <w:szCs w:val="20"/>
          <w:lang w:val="en-GB"/>
        </w:rPr>
        <w:t xml:space="preserve"> of this submission. </w:t>
      </w:r>
    </w:p>
    <w:p w14:paraId="2712D225" w14:textId="77777777" w:rsidR="00B55ABF" w:rsidRDefault="00B55ABF" w:rsidP="00B55ABF">
      <w:pPr>
        <w:widowControl/>
        <w:wordWrap/>
        <w:autoSpaceDE/>
        <w:autoSpaceDN/>
        <w:rPr>
          <w:rFonts w:ascii="Arial" w:hAnsi="Arial" w:cs="Arial"/>
          <w:b/>
          <w:bCs/>
          <w:sz w:val="20"/>
          <w:szCs w:val="20"/>
          <w:lang w:val="en-GB"/>
        </w:rPr>
      </w:pPr>
    </w:p>
    <w:p w14:paraId="77104603" w14:textId="77777777" w:rsidR="0056311A" w:rsidRDefault="0056311A" w:rsidP="00B55ABF">
      <w:pPr>
        <w:widowControl/>
        <w:wordWrap/>
        <w:autoSpaceDE/>
        <w:autoSpaceDN/>
        <w:rPr>
          <w:rFonts w:ascii="Arial" w:hAnsi="Arial" w:cs="Arial"/>
          <w:b/>
          <w:bCs/>
          <w:sz w:val="20"/>
          <w:szCs w:val="20"/>
          <w:lang w:val="en-GB"/>
        </w:rPr>
      </w:pPr>
    </w:p>
    <w:p w14:paraId="6538126D" w14:textId="6E786C65" w:rsidR="00C5215A" w:rsidRDefault="00C5215A" w:rsidP="00C5215A">
      <w:pPr>
        <w:pStyle w:val="af1"/>
        <w:keepNext/>
      </w:pPr>
      <w:r>
        <w:t xml:space="preserve">Table </w:t>
      </w:r>
      <w:r w:rsidR="00D52B5E">
        <w:fldChar w:fldCharType="begin"/>
      </w:r>
      <w:r w:rsidR="00D52B5E">
        <w:instrText xml:space="preserve"> SEQ Table \* ARABIC </w:instrText>
      </w:r>
      <w:r w:rsidR="00D52B5E">
        <w:fldChar w:fldCharType="separate"/>
      </w:r>
      <w:r w:rsidR="001C42EC">
        <w:rPr>
          <w:noProof/>
        </w:rPr>
        <w:t>1</w:t>
      </w:r>
      <w:r w:rsidR="00D52B5E">
        <w:rPr>
          <w:noProof/>
        </w:rPr>
        <w:fldChar w:fldCharType="end"/>
      </w:r>
      <w:r>
        <w:t xml:space="preserve">. </w:t>
      </w:r>
      <w:r w:rsidR="00AE4288">
        <w:t>T</w:t>
      </w:r>
      <w:r>
        <w:t xml:space="preserve">able </w:t>
      </w:r>
      <w:r w:rsidR="00AE4288">
        <w:t>for</w:t>
      </w:r>
      <w:r>
        <w:t xml:space="preserve"> the initial report proposed by the ROK</w:t>
      </w:r>
    </w:p>
    <w:tbl>
      <w:tblPr>
        <w:tblStyle w:val="ac"/>
        <w:tblW w:w="0" w:type="auto"/>
        <w:tblLook w:val="04A0" w:firstRow="1" w:lastRow="0" w:firstColumn="1" w:lastColumn="0" w:noHBand="0" w:noVBand="1"/>
      </w:tblPr>
      <w:tblGrid>
        <w:gridCol w:w="5807"/>
        <w:gridCol w:w="3209"/>
      </w:tblGrid>
      <w:tr w:rsidR="00C5215A" w:rsidRPr="003154DF" w14:paraId="5C1D96BD" w14:textId="77777777" w:rsidTr="003154DF">
        <w:trPr>
          <w:trHeight w:val="159"/>
        </w:trPr>
        <w:tc>
          <w:tcPr>
            <w:tcW w:w="5807" w:type="dxa"/>
            <w:shd w:val="clear" w:color="auto" w:fill="ACB9CA" w:themeFill="text2" w:themeFillTint="66"/>
          </w:tcPr>
          <w:p w14:paraId="3878D421" w14:textId="091404DE" w:rsidR="00C5215A" w:rsidRPr="003154DF" w:rsidRDefault="003154DF" w:rsidP="003154DF">
            <w:pPr>
              <w:widowControl/>
              <w:wordWrap/>
              <w:autoSpaceDE/>
              <w:autoSpaceDN/>
              <w:rPr>
                <w:rFonts w:ascii="Arial" w:hAnsi="Arial" w:cs="Arial"/>
                <w:b/>
                <w:bCs/>
                <w:sz w:val="18"/>
                <w:szCs w:val="20"/>
                <w:lang w:val="en-GB"/>
              </w:rPr>
            </w:pPr>
            <w:r w:rsidRPr="003154DF">
              <w:rPr>
                <w:rFonts w:ascii="Arial" w:hAnsi="Arial" w:cs="Arial" w:hint="eastAsia"/>
                <w:b/>
                <w:bCs/>
                <w:sz w:val="18"/>
                <w:szCs w:val="20"/>
                <w:lang w:val="en-GB"/>
              </w:rPr>
              <w:t xml:space="preserve">Reporting </w:t>
            </w:r>
            <w:r>
              <w:rPr>
                <w:rFonts w:ascii="Arial" w:hAnsi="Arial" w:cs="Arial"/>
                <w:b/>
                <w:bCs/>
                <w:sz w:val="18"/>
                <w:szCs w:val="20"/>
                <w:lang w:val="en-GB"/>
              </w:rPr>
              <w:t>requirements</w:t>
            </w:r>
          </w:p>
        </w:tc>
        <w:tc>
          <w:tcPr>
            <w:tcW w:w="3209" w:type="dxa"/>
            <w:shd w:val="clear" w:color="auto" w:fill="ACB9CA" w:themeFill="text2" w:themeFillTint="66"/>
          </w:tcPr>
          <w:p w14:paraId="2B2C4346" w14:textId="0C86EEFE" w:rsidR="00C5215A" w:rsidRPr="003154DF" w:rsidRDefault="003154DF" w:rsidP="00B55ABF">
            <w:pPr>
              <w:widowControl/>
              <w:wordWrap/>
              <w:autoSpaceDE/>
              <w:autoSpaceDN/>
              <w:rPr>
                <w:rFonts w:ascii="Arial" w:hAnsi="Arial" w:cs="Arial"/>
                <w:b/>
                <w:bCs/>
                <w:sz w:val="18"/>
                <w:szCs w:val="20"/>
                <w:lang w:val="en-GB"/>
              </w:rPr>
            </w:pPr>
            <w:r>
              <w:rPr>
                <w:rFonts w:ascii="Arial" w:hAnsi="Arial" w:cs="Arial" w:hint="eastAsia"/>
                <w:b/>
                <w:bCs/>
                <w:sz w:val="18"/>
                <w:szCs w:val="20"/>
                <w:lang w:val="en-GB"/>
              </w:rPr>
              <w:t>Description or reference to the relevant section of the initial report</w:t>
            </w:r>
          </w:p>
        </w:tc>
      </w:tr>
      <w:tr w:rsidR="00C5215A" w:rsidRPr="003154DF" w14:paraId="1AE75711" w14:textId="77777777" w:rsidTr="003154DF">
        <w:trPr>
          <w:trHeight w:val="159"/>
        </w:trPr>
        <w:tc>
          <w:tcPr>
            <w:tcW w:w="5807" w:type="dxa"/>
          </w:tcPr>
          <w:p w14:paraId="31449860" w14:textId="1292689D" w:rsidR="00C5215A" w:rsidRPr="003154DF" w:rsidRDefault="003154DF" w:rsidP="00B55AB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Demonstrate that the participating Party fulfils the participation responsibilities referred to in chapter II (Participation) </w:t>
            </w:r>
            <w:r w:rsidRPr="003154DF">
              <w:rPr>
                <w:rFonts w:ascii="Arial" w:eastAsia="맑은 고딕" w:hAnsi="Arial" w:cs="Arial"/>
                <w:i/>
                <w:kern w:val="0"/>
                <w:sz w:val="18"/>
                <w:szCs w:val="20"/>
              </w:rPr>
              <w:t>(para. 18.(a))</w:t>
            </w:r>
          </w:p>
        </w:tc>
        <w:tc>
          <w:tcPr>
            <w:tcW w:w="3209" w:type="dxa"/>
          </w:tcPr>
          <w:p w14:paraId="0485C51B" w14:textId="2554621C" w:rsidR="00C5215A" w:rsidRPr="003154DF" w:rsidRDefault="00C5215A" w:rsidP="00B55ABF">
            <w:pPr>
              <w:widowControl/>
              <w:wordWrap/>
              <w:autoSpaceDE/>
              <w:autoSpaceDN/>
              <w:rPr>
                <w:rFonts w:ascii="Arial" w:hAnsi="Arial" w:cs="Arial"/>
                <w:b/>
                <w:bCs/>
                <w:sz w:val="18"/>
                <w:szCs w:val="20"/>
                <w:lang w:val="en-GB"/>
              </w:rPr>
            </w:pPr>
          </w:p>
        </w:tc>
      </w:tr>
      <w:tr w:rsidR="00C5215A" w:rsidRPr="003154DF" w14:paraId="0B13EA4C" w14:textId="77777777" w:rsidTr="003154DF">
        <w:trPr>
          <w:trHeight w:val="159"/>
        </w:trPr>
        <w:tc>
          <w:tcPr>
            <w:tcW w:w="5807" w:type="dxa"/>
          </w:tcPr>
          <w:p w14:paraId="33C846E4" w14:textId="27DF86CD" w:rsidR="00C5215A" w:rsidRPr="003154DF" w:rsidRDefault="003154DF" w:rsidP="00B55AB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Provide, where the participating Party has not yet submitted a biennial transparency report, the information referred to in paragraph 64 of the annex to decision 18/CMA.1 </w:t>
            </w:r>
            <w:r w:rsidRPr="003154DF">
              <w:rPr>
                <w:rFonts w:ascii="Arial" w:eastAsia="맑은 고딕" w:hAnsi="Arial" w:cs="Arial"/>
                <w:i/>
                <w:kern w:val="0"/>
                <w:sz w:val="18"/>
                <w:szCs w:val="20"/>
              </w:rPr>
              <w:t>(para. 18.(b))</w:t>
            </w:r>
          </w:p>
        </w:tc>
        <w:tc>
          <w:tcPr>
            <w:tcW w:w="3209" w:type="dxa"/>
          </w:tcPr>
          <w:p w14:paraId="3803F67D" w14:textId="25972DE4" w:rsidR="00C5215A" w:rsidRPr="003154DF" w:rsidRDefault="00C5215A" w:rsidP="00B55ABF">
            <w:pPr>
              <w:widowControl/>
              <w:wordWrap/>
              <w:autoSpaceDE/>
              <w:autoSpaceDN/>
              <w:rPr>
                <w:rFonts w:ascii="Arial" w:hAnsi="Arial" w:cs="Arial"/>
                <w:b/>
                <w:bCs/>
                <w:sz w:val="18"/>
                <w:szCs w:val="20"/>
                <w:lang w:val="en-GB"/>
              </w:rPr>
            </w:pPr>
          </w:p>
        </w:tc>
      </w:tr>
      <w:tr w:rsidR="00C5215A" w:rsidRPr="003154DF" w14:paraId="05F4EC42" w14:textId="77777777" w:rsidTr="003154DF">
        <w:trPr>
          <w:trHeight w:val="159"/>
        </w:trPr>
        <w:tc>
          <w:tcPr>
            <w:tcW w:w="5807" w:type="dxa"/>
          </w:tcPr>
          <w:p w14:paraId="4E6C2368" w14:textId="6A067032" w:rsidR="00C5215A" w:rsidRPr="003154DF" w:rsidRDefault="003154DF" w:rsidP="00B55AB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Communicate the ITMO metrics and the method for applying corresponding adjustments as per chapter III.B for multi- or single-year NDCs that will be applied consistently throughout the period of NDC implementation and where the method is a multi-year emissions trajectory, trajectories or budget, describe the method </w:t>
            </w:r>
            <w:r w:rsidRPr="003154DF">
              <w:rPr>
                <w:rFonts w:ascii="Arial" w:eastAsia="맑은 고딕" w:hAnsi="Arial" w:cs="Arial"/>
                <w:i/>
                <w:kern w:val="0"/>
                <w:sz w:val="18"/>
                <w:szCs w:val="20"/>
              </w:rPr>
              <w:t>(para. 18.(c))</w:t>
            </w:r>
          </w:p>
        </w:tc>
        <w:tc>
          <w:tcPr>
            <w:tcW w:w="3209" w:type="dxa"/>
          </w:tcPr>
          <w:p w14:paraId="16102F57" w14:textId="63E47512" w:rsidR="00C5215A" w:rsidRPr="003154DF" w:rsidRDefault="00C5215A" w:rsidP="00B55ABF">
            <w:pPr>
              <w:widowControl/>
              <w:wordWrap/>
              <w:autoSpaceDE/>
              <w:autoSpaceDN/>
              <w:rPr>
                <w:rFonts w:ascii="Arial" w:hAnsi="Arial" w:cs="Arial"/>
                <w:b/>
                <w:bCs/>
                <w:sz w:val="18"/>
                <w:szCs w:val="20"/>
                <w:lang w:val="en-GB"/>
              </w:rPr>
            </w:pPr>
          </w:p>
        </w:tc>
      </w:tr>
      <w:tr w:rsidR="00C5215A" w:rsidRPr="003154DF" w14:paraId="60C1F540" w14:textId="77777777" w:rsidTr="003154DF">
        <w:trPr>
          <w:trHeight w:val="159"/>
        </w:trPr>
        <w:tc>
          <w:tcPr>
            <w:tcW w:w="5807" w:type="dxa"/>
          </w:tcPr>
          <w:p w14:paraId="423AC6AB" w14:textId="5EFDF2B8" w:rsidR="00C5215A" w:rsidRPr="003154DF" w:rsidRDefault="003154DF" w:rsidP="00B55AB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Quantify the Party’s mitigation information in its NDC in t CO2 </w:t>
            </w:r>
            <w:proofErr w:type="spellStart"/>
            <w:r w:rsidRPr="003154DF">
              <w:rPr>
                <w:rFonts w:ascii="Arial" w:eastAsia="맑은 고딕" w:hAnsi="Arial" w:cs="Arial"/>
                <w:kern w:val="0"/>
                <w:sz w:val="18"/>
                <w:szCs w:val="20"/>
              </w:rPr>
              <w:t>eq</w:t>
            </w:r>
            <w:proofErr w:type="spellEnd"/>
            <w:r w:rsidRPr="003154DF">
              <w:rPr>
                <w:rFonts w:ascii="Arial" w:eastAsia="맑은 고딕" w:hAnsi="Arial" w:cs="Arial"/>
                <w:kern w:val="0"/>
                <w:sz w:val="18"/>
                <w:szCs w:val="20"/>
              </w:rPr>
              <w:t xml:space="preserve">, including the sectors, sources, GHGs and time periods covered by the NDC, the reference level of emissions and removals for the relevant year or period, and the target level for its NDC; or where this is not possible, provide the methodology for the quantification of the NDC in tCO2 </w:t>
            </w:r>
            <w:proofErr w:type="spellStart"/>
            <w:r w:rsidRPr="003154DF">
              <w:rPr>
                <w:rFonts w:ascii="Arial" w:eastAsia="맑은 고딕" w:hAnsi="Arial" w:cs="Arial"/>
                <w:kern w:val="0"/>
                <w:sz w:val="18"/>
                <w:szCs w:val="20"/>
              </w:rPr>
              <w:t>eq</w:t>
            </w:r>
            <w:proofErr w:type="spellEnd"/>
            <w:r w:rsidRPr="003154DF">
              <w:rPr>
                <w:rFonts w:ascii="Arial" w:eastAsia="맑은 고딕" w:hAnsi="Arial" w:cs="Arial"/>
                <w:kern w:val="0"/>
                <w:sz w:val="18"/>
                <w:szCs w:val="20"/>
              </w:rPr>
              <w:t xml:space="preserve"> </w:t>
            </w:r>
            <w:r w:rsidRPr="003154DF">
              <w:rPr>
                <w:rFonts w:ascii="Arial" w:eastAsia="맑은 고딕" w:hAnsi="Arial" w:cs="Arial"/>
                <w:i/>
                <w:kern w:val="0"/>
                <w:sz w:val="18"/>
                <w:szCs w:val="20"/>
              </w:rPr>
              <w:t>(para. 18.(d))</w:t>
            </w:r>
          </w:p>
        </w:tc>
        <w:tc>
          <w:tcPr>
            <w:tcW w:w="3209" w:type="dxa"/>
          </w:tcPr>
          <w:p w14:paraId="201856AD" w14:textId="0941F403" w:rsidR="00C5215A" w:rsidRPr="003154DF" w:rsidRDefault="00C5215A" w:rsidP="00B55ABF">
            <w:pPr>
              <w:widowControl/>
              <w:wordWrap/>
              <w:autoSpaceDE/>
              <w:autoSpaceDN/>
              <w:rPr>
                <w:rFonts w:ascii="Arial" w:hAnsi="Arial" w:cs="Arial"/>
                <w:b/>
                <w:bCs/>
                <w:sz w:val="18"/>
                <w:szCs w:val="20"/>
                <w:lang w:val="en-GB"/>
              </w:rPr>
            </w:pPr>
          </w:p>
        </w:tc>
      </w:tr>
      <w:tr w:rsidR="00C5215A" w:rsidRPr="003154DF" w14:paraId="3E46F596" w14:textId="77777777" w:rsidTr="003154DF">
        <w:trPr>
          <w:trHeight w:val="159"/>
        </w:trPr>
        <w:tc>
          <w:tcPr>
            <w:tcW w:w="5807" w:type="dxa"/>
          </w:tcPr>
          <w:p w14:paraId="158ACF5E" w14:textId="27002CCA" w:rsidR="00C5215A" w:rsidRPr="003154DF" w:rsidRDefault="003154DF" w:rsidP="00B55AB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Quantify the NDC, or the portion in the relevant non-GHG indicator, in a non-GHG metric determined by each participating Party, if applicable </w:t>
            </w:r>
            <w:r w:rsidRPr="003154DF">
              <w:rPr>
                <w:rFonts w:ascii="Arial" w:eastAsia="맑은 고딕" w:hAnsi="Arial" w:cs="Arial"/>
                <w:i/>
                <w:kern w:val="0"/>
                <w:sz w:val="18"/>
                <w:szCs w:val="20"/>
              </w:rPr>
              <w:t>(para. 18.(e))</w:t>
            </w:r>
          </w:p>
        </w:tc>
        <w:tc>
          <w:tcPr>
            <w:tcW w:w="3209" w:type="dxa"/>
          </w:tcPr>
          <w:p w14:paraId="0BEA8041" w14:textId="614B01A4" w:rsidR="00C5215A" w:rsidRPr="003154DF" w:rsidRDefault="00C5215A" w:rsidP="00B55ABF">
            <w:pPr>
              <w:widowControl/>
              <w:wordWrap/>
              <w:autoSpaceDE/>
              <w:autoSpaceDN/>
              <w:rPr>
                <w:rFonts w:ascii="Arial" w:hAnsi="Arial" w:cs="Arial"/>
                <w:b/>
                <w:bCs/>
                <w:sz w:val="18"/>
                <w:szCs w:val="20"/>
                <w:lang w:val="en-GB"/>
              </w:rPr>
            </w:pPr>
          </w:p>
        </w:tc>
      </w:tr>
      <w:tr w:rsidR="00C5215A" w:rsidRPr="003154DF" w14:paraId="472FA45F" w14:textId="77777777" w:rsidTr="003154DF">
        <w:trPr>
          <w:trHeight w:val="159"/>
        </w:trPr>
        <w:tc>
          <w:tcPr>
            <w:tcW w:w="5807" w:type="dxa"/>
          </w:tcPr>
          <w:p w14:paraId="5DB0C38E" w14:textId="044A14DC" w:rsidR="00C5215A" w:rsidRPr="003154DF" w:rsidRDefault="003154DF" w:rsidP="00B55AB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For a first or first updated NDC consisting of policies and measures that is not quantified, quantify the emission level resulting from the policies and measures that are relevant to the implementation of the cooperative approach and its mitigation activities for the categories of anthropogenic emissions by sources and removals by sinks as identified by the host Party pursuant to paragraph 9, and the time periods covered by the NDC </w:t>
            </w:r>
            <w:r w:rsidRPr="003154DF">
              <w:rPr>
                <w:rFonts w:ascii="Arial" w:eastAsia="맑은 고딕" w:hAnsi="Arial" w:cs="Arial"/>
                <w:i/>
                <w:kern w:val="0"/>
                <w:sz w:val="18"/>
                <w:szCs w:val="20"/>
              </w:rPr>
              <w:t>(para. 18.(f))</w:t>
            </w:r>
          </w:p>
        </w:tc>
        <w:tc>
          <w:tcPr>
            <w:tcW w:w="3209" w:type="dxa"/>
          </w:tcPr>
          <w:p w14:paraId="43484945" w14:textId="647AFFB6" w:rsidR="00C5215A" w:rsidRPr="003154DF" w:rsidRDefault="00C5215A" w:rsidP="00B55ABF">
            <w:pPr>
              <w:widowControl/>
              <w:wordWrap/>
              <w:autoSpaceDE/>
              <w:autoSpaceDN/>
              <w:rPr>
                <w:rFonts w:ascii="Arial" w:hAnsi="Arial" w:cs="Arial"/>
                <w:b/>
                <w:bCs/>
                <w:sz w:val="18"/>
                <w:szCs w:val="20"/>
                <w:lang w:val="en-GB"/>
              </w:rPr>
            </w:pPr>
          </w:p>
        </w:tc>
      </w:tr>
      <w:tr w:rsidR="00C5215A" w:rsidRPr="003154DF" w14:paraId="6751DD9D" w14:textId="77777777" w:rsidTr="003154DF">
        <w:trPr>
          <w:trHeight w:val="159"/>
        </w:trPr>
        <w:tc>
          <w:tcPr>
            <w:tcW w:w="5807" w:type="dxa"/>
          </w:tcPr>
          <w:p w14:paraId="0545DEA4" w14:textId="347AD909" w:rsidR="00C5215A" w:rsidRPr="003154DF" w:rsidRDefault="003154DF" w:rsidP="00B55AB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Provide, for each cooperative approach, a copy of the authorization by the participating Party, a description of the approach, its duration, the </w:t>
            </w:r>
            <w:r w:rsidRPr="003154DF">
              <w:rPr>
                <w:rFonts w:ascii="Arial" w:eastAsia="맑은 고딕" w:hAnsi="Arial" w:cs="Arial"/>
                <w:kern w:val="0"/>
                <w:sz w:val="18"/>
                <w:szCs w:val="20"/>
              </w:rPr>
              <w:lastRenderedPageBreak/>
              <w:t xml:space="preserve">expected mitigation for each year of its duration, and the participating Parties involved and authorized entities </w:t>
            </w:r>
            <w:r w:rsidRPr="003154DF">
              <w:rPr>
                <w:rFonts w:ascii="Arial" w:eastAsia="맑은 고딕" w:hAnsi="Arial" w:cs="Arial"/>
                <w:i/>
                <w:kern w:val="0"/>
                <w:sz w:val="18"/>
                <w:szCs w:val="20"/>
              </w:rPr>
              <w:t>(para. 18.(g))</w:t>
            </w:r>
          </w:p>
        </w:tc>
        <w:tc>
          <w:tcPr>
            <w:tcW w:w="3209" w:type="dxa"/>
          </w:tcPr>
          <w:p w14:paraId="09C1B538" w14:textId="69A8A16E" w:rsidR="00C5215A" w:rsidRPr="003154DF" w:rsidRDefault="00C5215A" w:rsidP="00B55ABF">
            <w:pPr>
              <w:widowControl/>
              <w:wordWrap/>
              <w:autoSpaceDE/>
              <w:autoSpaceDN/>
              <w:rPr>
                <w:rFonts w:ascii="Arial" w:hAnsi="Arial" w:cs="Arial"/>
                <w:b/>
                <w:bCs/>
                <w:sz w:val="18"/>
                <w:szCs w:val="20"/>
                <w:lang w:val="en-GB"/>
              </w:rPr>
            </w:pPr>
          </w:p>
        </w:tc>
      </w:tr>
      <w:tr w:rsidR="003154DF" w:rsidRPr="003154DF" w14:paraId="0C4C59A6" w14:textId="77777777" w:rsidTr="003154DF">
        <w:trPr>
          <w:trHeight w:val="159"/>
        </w:trPr>
        <w:tc>
          <w:tcPr>
            <w:tcW w:w="5807" w:type="dxa"/>
            <w:shd w:val="clear" w:color="auto" w:fill="E7E6E6" w:themeFill="background2"/>
            <w:vAlign w:val="center"/>
          </w:tcPr>
          <w:p w14:paraId="56919252" w14:textId="6C4CD379" w:rsidR="003154DF" w:rsidRPr="003154DF" w:rsidRDefault="003154DF" w:rsidP="003154DF">
            <w:pPr>
              <w:widowControl/>
              <w:wordWrap/>
              <w:autoSpaceDE/>
              <w:autoSpaceDN/>
              <w:rPr>
                <w:rFonts w:ascii="Arial" w:hAnsi="Arial" w:cs="Arial"/>
                <w:b/>
                <w:bCs/>
                <w:sz w:val="18"/>
                <w:szCs w:val="20"/>
                <w:lang w:val="en-GB"/>
              </w:rPr>
            </w:pPr>
            <w:r w:rsidRPr="003154DF">
              <w:rPr>
                <w:rFonts w:ascii="Arial" w:eastAsia="맑은 고딕" w:hAnsi="Arial" w:cs="Arial"/>
                <w:i/>
                <w:iCs/>
                <w:kern w:val="0"/>
                <w:sz w:val="18"/>
                <w:szCs w:val="20"/>
              </w:rPr>
              <w:lastRenderedPageBreak/>
              <w:t>Describe how each cooperative approach ensures environmental integrity, including:</w:t>
            </w:r>
          </w:p>
        </w:tc>
        <w:tc>
          <w:tcPr>
            <w:tcW w:w="3209" w:type="dxa"/>
            <w:shd w:val="clear" w:color="auto" w:fill="E7E6E6" w:themeFill="background2"/>
          </w:tcPr>
          <w:p w14:paraId="29A7253D" w14:textId="77777777" w:rsidR="003154DF" w:rsidRPr="003154DF" w:rsidRDefault="003154DF" w:rsidP="003154DF">
            <w:pPr>
              <w:widowControl/>
              <w:wordWrap/>
              <w:autoSpaceDE/>
              <w:autoSpaceDN/>
              <w:rPr>
                <w:rFonts w:ascii="Arial" w:hAnsi="Arial" w:cs="Arial"/>
                <w:b/>
                <w:bCs/>
                <w:sz w:val="18"/>
                <w:szCs w:val="20"/>
                <w:lang w:val="en-GB"/>
              </w:rPr>
            </w:pPr>
          </w:p>
        </w:tc>
      </w:tr>
      <w:tr w:rsidR="003154DF" w:rsidRPr="003154DF" w14:paraId="347981F1" w14:textId="77777777" w:rsidTr="000A0E75">
        <w:trPr>
          <w:trHeight w:val="159"/>
        </w:trPr>
        <w:tc>
          <w:tcPr>
            <w:tcW w:w="5807" w:type="dxa"/>
            <w:vAlign w:val="center"/>
          </w:tcPr>
          <w:p w14:paraId="0180DE99" w14:textId="5A59BAEC" w:rsidR="003154DF" w:rsidRPr="003154DF" w:rsidRDefault="003154DF" w:rsidP="003154D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That there is no net increase in global emissions within and between NDC implementation periods </w:t>
            </w:r>
            <w:r w:rsidRPr="003154DF">
              <w:rPr>
                <w:rFonts w:ascii="Arial" w:eastAsia="맑은 고딕" w:hAnsi="Arial" w:cs="Arial"/>
                <w:i/>
                <w:kern w:val="0"/>
                <w:sz w:val="18"/>
                <w:szCs w:val="20"/>
              </w:rPr>
              <w:t>(para. 18.(h).(</w:t>
            </w:r>
            <w:proofErr w:type="spellStart"/>
            <w:r w:rsidRPr="003154DF">
              <w:rPr>
                <w:rFonts w:ascii="Arial" w:eastAsia="맑은 고딕" w:hAnsi="Arial" w:cs="Arial"/>
                <w:i/>
                <w:kern w:val="0"/>
                <w:sz w:val="18"/>
                <w:szCs w:val="20"/>
              </w:rPr>
              <w:t>i</w:t>
            </w:r>
            <w:proofErr w:type="spellEnd"/>
            <w:r w:rsidRPr="003154DF">
              <w:rPr>
                <w:rFonts w:ascii="Arial" w:eastAsia="맑은 고딕" w:hAnsi="Arial" w:cs="Arial"/>
                <w:i/>
                <w:kern w:val="0"/>
                <w:sz w:val="18"/>
                <w:szCs w:val="20"/>
              </w:rPr>
              <w:t>))</w:t>
            </w:r>
          </w:p>
        </w:tc>
        <w:tc>
          <w:tcPr>
            <w:tcW w:w="3209" w:type="dxa"/>
          </w:tcPr>
          <w:p w14:paraId="47E843B0" w14:textId="77777777" w:rsidR="003154DF" w:rsidRPr="003154DF" w:rsidRDefault="003154DF" w:rsidP="003154DF">
            <w:pPr>
              <w:widowControl/>
              <w:wordWrap/>
              <w:autoSpaceDE/>
              <w:autoSpaceDN/>
              <w:rPr>
                <w:rFonts w:ascii="Arial" w:hAnsi="Arial" w:cs="Arial"/>
                <w:b/>
                <w:bCs/>
                <w:sz w:val="18"/>
                <w:szCs w:val="20"/>
                <w:lang w:val="en-GB"/>
              </w:rPr>
            </w:pPr>
          </w:p>
        </w:tc>
      </w:tr>
      <w:tr w:rsidR="003154DF" w:rsidRPr="003154DF" w14:paraId="3D465BDD" w14:textId="77777777" w:rsidTr="000A0E75">
        <w:trPr>
          <w:trHeight w:val="159"/>
        </w:trPr>
        <w:tc>
          <w:tcPr>
            <w:tcW w:w="5807" w:type="dxa"/>
            <w:vAlign w:val="center"/>
          </w:tcPr>
          <w:p w14:paraId="5D22E054" w14:textId="3F64D437" w:rsidR="003154DF" w:rsidRPr="003154DF" w:rsidRDefault="003154DF" w:rsidP="003154D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Through robust, transparent governance and the quality of mitigation outcomes, including through conservative reference levels, baselines set in a conservative way and below ‘business as usual’ emission projections (including by taking into account all existing policies and addressing uncertainties in quantification and potential leakage) </w:t>
            </w:r>
            <w:r w:rsidRPr="003154DF">
              <w:rPr>
                <w:rFonts w:ascii="Arial" w:eastAsia="맑은 고딕" w:hAnsi="Arial" w:cs="Arial"/>
                <w:i/>
                <w:kern w:val="0"/>
                <w:sz w:val="18"/>
                <w:szCs w:val="20"/>
              </w:rPr>
              <w:t>(para. 18.(h).(ii))</w:t>
            </w:r>
          </w:p>
        </w:tc>
        <w:tc>
          <w:tcPr>
            <w:tcW w:w="3209" w:type="dxa"/>
          </w:tcPr>
          <w:p w14:paraId="1E04E809" w14:textId="77777777" w:rsidR="003154DF" w:rsidRPr="003154DF" w:rsidRDefault="003154DF" w:rsidP="003154DF">
            <w:pPr>
              <w:widowControl/>
              <w:wordWrap/>
              <w:autoSpaceDE/>
              <w:autoSpaceDN/>
              <w:rPr>
                <w:rFonts w:ascii="Arial" w:hAnsi="Arial" w:cs="Arial"/>
                <w:b/>
                <w:bCs/>
                <w:sz w:val="18"/>
                <w:szCs w:val="20"/>
                <w:lang w:val="en-GB"/>
              </w:rPr>
            </w:pPr>
          </w:p>
        </w:tc>
      </w:tr>
      <w:tr w:rsidR="003154DF" w:rsidRPr="003154DF" w14:paraId="3CDE0EAC" w14:textId="77777777" w:rsidTr="000A0E75">
        <w:trPr>
          <w:trHeight w:val="159"/>
        </w:trPr>
        <w:tc>
          <w:tcPr>
            <w:tcW w:w="5807" w:type="dxa"/>
            <w:vAlign w:val="center"/>
          </w:tcPr>
          <w:p w14:paraId="6CFC7AC4" w14:textId="1A2E0BB6" w:rsidR="003154DF" w:rsidRPr="003154DF" w:rsidRDefault="003154DF" w:rsidP="003154DF">
            <w:pPr>
              <w:widowControl/>
              <w:wordWrap/>
              <w:autoSpaceDE/>
              <w:autoSpaceDN/>
              <w:rPr>
                <w:rFonts w:ascii="Arial" w:hAnsi="Arial" w:cs="Arial"/>
                <w:b/>
                <w:bCs/>
                <w:sz w:val="18"/>
                <w:szCs w:val="20"/>
                <w:lang w:val="en-GB"/>
              </w:rPr>
            </w:pPr>
            <w:r w:rsidRPr="003154DF">
              <w:rPr>
                <w:rFonts w:ascii="Arial" w:eastAsia="맑은 고딕" w:hAnsi="Arial" w:cs="Arial"/>
                <w:kern w:val="0"/>
                <w:sz w:val="18"/>
                <w:szCs w:val="20"/>
              </w:rPr>
              <w:t xml:space="preserve">By minimizing the risk of non-permanence of mitigation across several NDC periods and how, when reversals of emission reductions or removals occur, the cooperative approach will ensure that these are addressed in full </w:t>
            </w:r>
            <w:r w:rsidRPr="003154DF">
              <w:rPr>
                <w:rFonts w:ascii="Arial" w:eastAsia="맑은 고딕" w:hAnsi="Arial" w:cs="Arial"/>
                <w:i/>
                <w:kern w:val="0"/>
                <w:sz w:val="18"/>
                <w:szCs w:val="20"/>
              </w:rPr>
              <w:t>(para. 18.(h).(iii))</w:t>
            </w:r>
          </w:p>
        </w:tc>
        <w:tc>
          <w:tcPr>
            <w:tcW w:w="3209" w:type="dxa"/>
          </w:tcPr>
          <w:p w14:paraId="2CFE8FC4" w14:textId="77777777" w:rsidR="003154DF" w:rsidRPr="003154DF" w:rsidRDefault="003154DF" w:rsidP="003154DF">
            <w:pPr>
              <w:widowControl/>
              <w:wordWrap/>
              <w:autoSpaceDE/>
              <w:autoSpaceDN/>
              <w:rPr>
                <w:rFonts w:ascii="Arial" w:hAnsi="Arial" w:cs="Arial"/>
                <w:b/>
                <w:bCs/>
                <w:sz w:val="18"/>
                <w:szCs w:val="20"/>
                <w:lang w:val="en-GB"/>
              </w:rPr>
            </w:pPr>
          </w:p>
        </w:tc>
      </w:tr>
      <w:tr w:rsidR="003154DF" w:rsidRPr="003154DF" w14:paraId="0A75FA9D" w14:textId="77777777" w:rsidTr="000A0E75">
        <w:trPr>
          <w:trHeight w:val="159"/>
        </w:trPr>
        <w:tc>
          <w:tcPr>
            <w:tcW w:w="5807" w:type="dxa"/>
            <w:vAlign w:val="center"/>
          </w:tcPr>
          <w:p w14:paraId="0F37F46C" w14:textId="738414C3" w:rsidR="003154DF" w:rsidRPr="003154DF" w:rsidRDefault="003154DF" w:rsidP="003154DF">
            <w:pPr>
              <w:widowControl/>
              <w:wordWrap/>
              <w:autoSpaceDE/>
              <w:autoSpaceDN/>
              <w:rPr>
                <w:rFonts w:ascii="Arial" w:hAnsi="Arial" w:cs="Arial"/>
                <w:b/>
                <w:bCs/>
                <w:sz w:val="18"/>
                <w:szCs w:val="20"/>
                <w:lang w:val="en-GB"/>
              </w:rPr>
            </w:pPr>
            <w:r w:rsidRPr="003154DF">
              <w:rPr>
                <w:rFonts w:ascii="Arial" w:eastAsia="맑은 고딕" w:hAnsi="Arial" w:cs="Arial"/>
                <w:i/>
                <w:iCs/>
                <w:kern w:val="0"/>
                <w:sz w:val="18"/>
                <w:szCs w:val="20"/>
              </w:rPr>
              <w:t>Describe how each cooperative approach will:</w:t>
            </w:r>
          </w:p>
        </w:tc>
        <w:tc>
          <w:tcPr>
            <w:tcW w:w="3209" w:type="dxa"/>
          </w:tcPr>
          <w:p w14:paraId="70A87AA5" w14:textId="77777777" w:rsidR="003154DF" w:rsidRPr="003154DF" w:rsidRDefault="003154DF" w:rsidP="003154DF">
            <w:pPr>
              <w:widowControl/>
              <w:wordWrap/>
              <w:autoSpaceDE/>
              <w:autoSpaceDN/>
              <w:rPr>
                <w:rFonts w:ascii="Arial" w:hAnsi="Arial" w:cs="Arial"/>
                <w:b/>
                <w:bCs/>
                <w:sz w:val="18"/>
                <w:szCs w:val="20"/>
                <w:lang w:val="en-GB"/>
              </w:rPr>
            </w:pPr>
          </w:p>
        </w:tc>
      </w:tr>
      <w:tr w:rsidR="003154DF" w:rsidRPr="003154DF" w14:paraId="25339EF4" w14:textId="77777777" w:rsidTr="000A0E75">
        <w:trPr>
          <w:trHeight w:val="159"/>
        </w:trPr>
        <w:tc>
          <w:tcPr>
            <w:tcW w:w="5807" w:type="dxa"/>
            <w:vAlign w:val="center"/>
          </w:tcPr>
          <w:p w14:paraId="0F5B628E" w14:textId="4865B7E7" w:rsidR="003154DF" w:rsidRPr="003154DF" w:rsidRDefault="003154DF" w:rsidP="003154DF">
            <w:pPr>
              <w:widowControl/>
              <w:wordWrap/>
              <w:autoSpaceDE/>
              <w:autoSpaceDN/>
              <w:rPr>
                <w:rFonts w:ascii="Arial" w:eastAsia="맑은 고딕" w:hAnsi="Arial" w:cs="Arial"/>
                <w:i/>
                <w:iCs/>
                <w:kern w:val="0"/>
                <w:sz w:val="18"/>
                <w:szCs w:val="20"/>
              </w:rPr>
            </w:pPr>
            <w:r w:rsidRPr="003154DF">
              <w:rPr>
                <w:rFonts w:ascii="Arial" w:eastAsia="맑은 고딕" w:hAnsi="Arial" w:cs="Arial"/>
                <w:kern w:val="0"/>
                <w:sz w:val="18"/>
                <w:szCs w:val="20"/>
              </w:rPr>
              <w:t xml:space="preserve">Minimize and, where possible, avoid negative environmental, economic and social impacts; </w:t>
            </w:r>
            <w:r w:rsidRPr="003154DF">
              <w:rPr>
                <w:rFonts w:ascii="Arial" w:eastAsia="맑은 고딕" w:hAnsi="Arial" w:cs="Arial"/>
                <w:i/>
                <w:kern w:val="0"/>
                <w:sz w:val="18"/>
                <w:szCs w:val="20"/>
              </w:rPr>
              <w:t>(para. 18.(</w:t>
            </w:r>
            <w:proofErr w:type="spellStart"/>
            <w:r w:rsidRPr="003154DF">
              <w:rPr>
                <w:rFonts w:ascii="Arial" w:eastAsia="맑은 고딕" w:hAnsi="Arial" w:cs="Arial"/>
                <w:i/>
                <w:kern w:val="0"/>
                <w:sz w:val="18"/>
                <w:szCs w:val="20"/>
              </w:rPr>
              <w:t>i</w:t>
            </w:r>
            <w:proofErr w:type="spellEnd"/>
            <w:r w:rsidRPr="003154DF">
              <w:rPr>
                <w:rFonts w:ascii="Arial" w:eastAsia="맑은 고딕" w:hAnsi="Arial" w:cs="Arial"/>
                <w:i/>
                <w:kern w:val="0"/>
                <w:sz w:val="18"/>
                <w:szCs w:val="20"/>
              </w:rPr>
              <w:t>).(</w:t>
            </w:r>
            <w:proofErr w:type="spellStart"/>
            <w:r w:rsidRPr="003154DF">
              <w:rPr>
                <w:rFonts w:ascii="Arial" w:eastAsia="맑은 고딕" w:hAnsi="Arial" w:cs="Arial"/>
                <w:i/>
                <w:kern w:val="0"/>
                <w:sz w:val="18"/>
                <w:szCs w:val="20"/>
              </w:rPr>
              <w:t>i</w:t>
            </w:r>
            <w:proofErr w:type="spellEnd"/>
            <w:r w:rsidRPr="003154DF">
              <w:rPr>
                <w:rFonts w:ascii="Arial" w:eastAsia="맑은 고딕" w:hAnsi="Arial" w:cs="Arial"/>
                <w:i/>
                <w:kern w:val="0"/>
                <w:sz w:val="18"/>
                <w:szCs w:val="20"/>
              </w:rPr>
              <w:t>))</w:t>
            </w:r>
          </w:p>
        </w:tc>
        <w:tc>
          <w:tcPr>
            <w:tcW w:w="3209" w:type="dxa"/>
          </w:tcPr>
          <w:p w14:paraId="3FE09151" w14:textId="77777777" w:rsidR="003154DF" w:rsidRPr="003154DF" w:rsidRDefault="003154DF" w:rsidP="003154DF">
            <w:pPr>
              <w:widowControl/>
              <w:wordWrap/>
              <w:autoSpaceDE/>
              <w:autoSpaceDN/>
              <w:rPr>
                <w:rFonts w:ascii="Arial" w:hAnsi="Arial" w:cs="Arial"/>
                <w:b/>
                <w:bCs/>
                <w:sz w:val="18"/>
                <w:szCs w:val="20"/>
                <w:lang w:val="en-GB"/>
              </w:rPr>
            </w:pPr>
          </w:p>
        </w:tc>
      </w:tr>
      <w:tr w:rsidR="003154DF" w:rsidRPr="003154DF" w14:paraId="5605B6B5" w14:textId="77777777" w:rsidTr="000A0E75">
        <w:trPr>
          <w:trHeight w:val="159"/>
        </w:trPr>
        <w:tc>
          <w:tcPr>
            <w:tcW w:w="5807" w:type="dxa"/>
            <w:vAlign w:val="center"/>
          </w:tcPr>
          <w:p w14:paraId="2AA4A37F" w14:textId="343F2784" w:rsidR="003154DF" w:rsidRPr="003154DF" w:rsidRDefault="003154DF" w:rsidP="003154DF">
            <w:pPr>
              <w:widowControl/>
              <w:wordWrap/>
              <w:autoSpaceDE/>
              <w:autoSpaceDN/>
              <w:rPr>
                <w:rFonts w:ascii="Arial" w:eastAsia="맑은 고딕" w:hAnsi="Arial" w:cs="Arial"/>
                <w:kern w:val="0"/>
                <w:sz w:val="18"/>
                <w:szCs w:val="20"/>
              </w:rPr>
            </w:pPr>
            <w:r w:rsidRPr="003154DF">
              <w:rPr>
                <w:rFonts w:ascii="Arial" w:eastAsia="맑은 고딕" w:hAnsi="Arial" w:cs="Arial"/>
                <w:kern w:val="0"/>
                <w:sz w:val="18"/>
                <w:szCs w:val="20"/>
              </w:rPr>
              <w:t xml:space="preserve">Reflect the eleventh </w:t>
            </w:r>
            <w:proofErr w:type="spellStart"/>
            <w:r w:rsidRPr="003154DF">
              <w:rPr>
                <w:rFonts w:ascii="Arial" w:eastAsia="맑은 고딕" w:hAnsi="Arial" w:cs="Arial"/>
                <w:kern w:val="0"/>
                <w:sz w:val="18"/>
                <w:szCs w:val="20"/>
              </w:rPr>
              <w:t>preambular</w:t>
            </w:r>
            <w:proofErr w:type="spellEnd"/>
            <w:r w:rsidRPr="003154DF">
              <w:rPr>
                <w:rFonts w:ascii="Arial" w:eastAsia="맑은 고딕" w:hAnsi="Arial" w:cs="Arial"/>
                <w:kern w:val="0"/>
                <w:sz w:val="18"/>
                <w:szCs w:val="20"/>
              </w:rPr>
              <w:t xml:space="preserve"> paragraph of the Paris Agreement </w:t>
            </w:r>
            <w:r w:rsidRPr="003154DF">
              <w:rPr>
                <w:rFonts w:ascii="Arial" w:eastAsia="맑은 고딕" w:hAnsi="Arial" w:cs="Arial"/>
                <w:i/>
                <w:kern w:val="0"/>
                <w:sz w:val="18"/>
                <w:szCs w:val="20"/>
              </w:rPr>
              <w:t>(para. 18.(</w:t>
            </w:r>
            <w:proofErr w:type="spellStart"/>
            <w:r w:rsidRPr="003154DF">
              <w:rPr>
                <w:rFonts w:ascii="Arial" w:eastAsia="맑은 고딕" w:hAnsi="Arial" w:cs="Arial"/>
                <w:i/>
                <w:kern w:val="0"/>
                <w:sz w:val="18"/>
                <w:szCs w:val="20"/>
              </w:rPr>
              <w:t>i</w:t>
            </w:r>
            <w:proofErr w:type="spellEnd"/>
            <w:r w:rsidRPr="003154DF">
              <w:rPr>
                <w:rFonts w:ascii="Arial" w:eastAsia="맑은 고딕" w:hAnsi="Arial" w:cs="Arial"/>
                <w:i/>
                <w:kern w:val="0"/>
                <w:sz w:val="18"/>
                <w:szCs w:val="20"/>
              </w:rPr>
              <w:t>).(ii))</w:t>
            </w:r>
          </w:p>
        </w:tc>
        <w:tc>
          <w:tcPr>
            <w:tcW w:w="3209" w:type="dxa"/>
          </w:tcPr>
          <w:p w14:paraId="09211A97" w14:textId="77777777" w:rsidR="003154DF" w:rsidRPr="003154DF" w:rsidRDefault="003154DF" w:rsidP="003154DF">
            <w:pPr>
              <w:widowControl/>
              <w:wordWrap/>
              <w:autoSpaceDE/>
              <w:autoSpaceDN/>
              <w:rPr>
                <w:rFonts w:ascii="Arial" w:hAnsi="Arial" w:cs="Arial"/>
                <w:b/>
                <w:bCs/>
                <w:sz w:val="18"/>
                <w:szCs w:val="20"/>
                <w:lang w:val="en-GB"/>
              </w:rPr>
            </w:pPr>
          </w:p>
        </w:tc>
      </w:tr>
      <w:tr w:rsidR="003154DF" w:rsidRPr="003154DF" w14:paraId="3640F4B3" w14:textId="77777777" w:rsidTr="000A0E75">
        <w:trPr>
          <w:trHeight w:val="159"/>
        </w:trPr>
        <w:tc>
          <w:tcPr>
            <w:tcW w:w="5807" w:type="dxa"/>
            <w:vAlign w:val="center"/>
          </w:tcPr>
          <w:p w14:paraId="7DD4CFC8" w14:textId="74F84566" w:rsidR="003154DF" w:rsidRPr="003154DF" w:rsidRDefault="003154DF" w:rsidP="003154DF">
            <w:pPr>
              <w:widowControl/>
              <w:wordWrap/>
              <w:autoSpaceDE/>
              <w:autoSpaceDN/>
              <w:rPr>
                <w:rFonts w:ascii="Arial" w:eastAsia="맑은 고딕" w:hAnsi="Arial" w:cs="Arial"/>
                <w:kern w:val="0"/>
                <w:sz w:val="18"/>
                <w:szCs w:val="20"/>
              </w:rPr>
            </w:pPr>
            <w:r w:rsidRPr="003154DF">
              <w:rPr>
                <w:rFonts w:ascii="Arial" w:eastAsia="맑은 고딕" w:hAnsi="Arial" w:cs="Arial"/>
                <w:kern w:val="0"/>
                <w:sz w:val="18"/>
                <w:szCs w:val="20"/>
              </w:rPr>
              <w:t xml:space="preserve">Be consistent with the sustainable development objectives of the Party, noting national prerogatives </w:t>
            </w:r>
            <w:r w:rsidRPr="003154DF">
              <w:rPr>
                <w:rFonts w:ascii="Arial" w:eastAsia="맑은 고딕" w:hAnsi="Arial" w:cs="Arial"/>
                <w:i/>
                <w:kern w:val="0"/>
                <w:sz w:val="18"/>
                <w:szCs w:val="20"/>
              </w:rPr>
              <w:t>(para. 18.(</w:t>
            </w:r>
            <w:proofErr w:type="spellStart"/>
            <w:r w:rsidRPr="003154DF">
              <w:rPr>
                <w:rFonts w:ascii="Arial" w:eastAsia="맑은 고딕" w:hAnsi="Arial" w:cs="Arial"/>
                <w:i/>
                <w:kern w:val="0"/>
                <w:sz w:val="18"/>
                <w:szCs w:val="20"/>
              </w:rPr>
              <w:t>i</w:t>
            </w:r>
            <w:proofErr w:type="spellEnd"/>
            <w:r w:rsidRPr="003154DF">
              <w:rPr>
                <w:rFonts w:ascii="Arial" w:eastAsia="맑은 고딕" w:hAnsi="Arial" w:cs="Arial"/>
                <w:i/>
                <w:kern w:val="0"/>
                <w:sz w:val="18"/>
                <w:szCs w:val="20"/>
              </w:rPr>
              <w:t>).(iii))</w:t>
            </w:r>
          </w:p>
        </w:tc>
        <w:tc>
          <w:tcPr>
            <w:tcW w:w="3209" w:type="dxa"/>
          </w:tcPr>
          <w:p w14:paraId="68343778" w14:textId="77777777" w:rsidR="003154DF" w:rsidRPr="003154DF" w:rsidRDefault="003154DF" w:rsidP="003154DF">
            <w:pPr>
              <w:widowControl/>
              <w:wordWrap/>
              <w:autoSpaceDE/>
              <w:autoSpaceDN/>
              <w:rPr>
                <w:rFonts w:ascii="Arial" w:hAnsi="Arial" w:cs="Arial"/>
                <w:b/>
                <w:bCs/>
                <w:sz w:val="18"/>
                <w:szCs w:val="20"/>
                <w:lang w:val="en-GB"/>
              </w:rPr>
            </w:pPr>
          </w:p>
        </w:tc>
      </w:tr>
      <w:tr w:rsidR="003154DF" w:rsidRPr="003154DF" w14:paraId="03FA97F1" w14:textId="77777777" w:rsidTr="000A0E75">
        <w:trPr>
          <w:trHeight w:val="159"/>
        </w:trPr>
        <w:tc>
          <w:tcPr>
            <w:tcW w:w="5807" w:type="dxa"/>
            <w:vAlign w:val="center"/>
          </w:tcPr>
          <w:p w14:paraId="349530DC" w14:textId="3FA39DDE" w:rsidR="003154DF" w:rsidRPr="003154DF" w:rsidRDefault="003154DF" w:rsidP="003154DF">
            <w:pPr>
              <w:widowControl/>
              <w:wordWrap/>
              <w:autoSpaceDE/>
              <w:autoSpaceDN/>
              <w:rPr>
                <w:rFonts w:ascii="Arial" w:eastAsia="맑은 고딕" w:hAnsi="Arial" w:cs="Arial"/>
                <w:kern w:val="0"/>
                <w:sz w:val="18"/>
                <w:szCs w:val="20"/>
              </w:rPr>
            </w:pPr>
            <w:r w:rsidRPr="003154DF">
              <w:rPr>
                <w:rFonts w:ascii="Arial" w:eastAsia="맑은 고딕" w:hAnsi="Arial" w:cs="Arial"/>
                <w:kern w:val="0"/>
                <w:sz w:val="18"/>
                <w:szCs w:val="20"/>
              </w:rPr>
              <w:t xml:space="preserve">Apply any safeguards and limits set out in further guidance from the CMA pursuant to chapter III.E (Safeguards and limits to the transfer and use of internationally transferred mitigation outcomes) </w:t>
            </w:r>
            <w:r w:rsidRPr="003154DF">
              <w:rPr>
                <w:rFonts w:ascii="Arial" w:eastAsia="맑은 고딕" w:hAnsi="Arial" w:cs="Arial"/>
                <w:i/>
                <w:kern w:val="0"/>
                <w:sz w:val="18"/>
                <w:szCs w:val="20"/>
              </w:rPr>
              <w:t>(para. 18.(</w:t>
            </w:r>
            <w:proofErr w:type="spellStart"/>
            <w:r w:rsidRPr="003154DF">
              <w:rPr>
                <w:rFonts w:ascii="Arial" w:eastAsia="맑은 고딕" w:hAnsi="Arial" w:cs="Arial"/>
                <w:i/>
                <w:kern w:val="0"/>
                <w:sz w:val="18"/>
                <w:szCs w:val="20"/>
              </w:rPr>
              <w:t>i</w:t>
            </w:r>
            <w:proofErr w:type="spellEnd"/>
            <w:r w:rsidRPr="003154DF">
              <w:rPr>
                <w:rFonts w:ascii="Arial" w:eastAsia="맑은 고딕" w:hAnsi="Arial" w:cs="Arial"/>
                <w:i/>
                <w:kern w:val="0"/>
                <w:sz w:val="18"/>
                <w:szCs w:val="20"/>
              </w:rPr>
              <w:t>).(iv))</w:t>
            </w:r>
          </w:p>
        </w:tc>
        <w:tc>
          <w:tcPr>
            <w:tcW w:w="3209" w:type="dxa"/>
          </w:tcPr>
          <w:p w14:paraId="5A80383E" w14:textId="77777777" w:rsidR="003154DF" w:rsidRPr="003154DF" w:rsidRDefault="003154DF" w:rsidP="003154DF">
            <w:pPr>
              <w:widowControl/>
              <w:wordWrap/>
              <w:autoSpaceDE/>
              <w:autoSpaceDN/>
              <w:rPr>
                <w:rFonts w:ascii="Arial" w:hAnsi="Arial" w:cs="Arial"/>
                <w:b/>
                <w:bCs/>
                <w:sz w:val="18"/>
                <w:szCs w:val="20"/>
                <w:lang w:val="en-GB"/>
              </w:rPr>
            </w:pPr>
          </w:p>
        </w:tc>
      </w:tr>
      <w:tr w:rsidR="003154DF" w:rsidRPr="003154DF" w14:paraId="3DEC6E77" w14:textId="77777777" w:rsidTr="000A0E75">
        <w:trPr>
          <w:trHeight w:val="159"/>
        </w:trPr>
        <w:tc>
          <w:tcPr>
            <w:tcW w:w="5807" w:type="dxa"/>
            <w:vAlign w:val="center"/>
          </w:tcPr>
          <w:p w14:paraId="2132D96B" w14:textId="3256A42C" w:rsidR="003154DF" w:rsidRPr="003154DF" w:rsidRDefault="003154DF" w:rsidP="003154DF">
            <w:pPr>
              <w:widowControl/>
              <w:wordWrap/>
              <w:autoSpaceDE/>
              <w:autoSpaceDN/>
              <w:rPr>
                <w:rFonts w:ascii="Arial" w:eastAsia="맑은 고딕" w:hAnsi="Arial" w:cs="Arial"/>
                <w:kern w:val="0"/>
                <w:sz w:val="18"/>
                <w:szCs w:val="20"/>
              </w:rPr>
            </w:pPr>
            <w:r w:rsidRPr="003154DF">
              <w:rPr>
                <w:rFonts w:ascii="Arial" w:eastAsia="맑은 고딕" w:hAnsi="Arial" w:cs="Arial"/>
                <w:kern w:val="0"/>
                <w:sz w:val="18"/>
                <w:szCs w:val="20"/>
              </w:rPr>
              <w:t xml:space="preserve">Contribute resources for adaptation pursuant to chapter VII (Ambition in mitigation and adaptation actions), if applicable; </w:t>
            </w:r>
            <w:r w:rsidRPr="003154DF">
              <w:rPr>
                <w:rFonts w:ascii="Arial" w:eastAsia="맑은 고딕" w:hAnsi="Arial" w:cs="Arial"/>
                <w:i/>
                <w:kern w:val="0"/>
                <w:sz w:val="18"/>
                <w:szCs w:val="20"/>
              </w:rPr>
              <w:t>(para. 18.(</w:t>
            </w:r>
            <w:proofErr w:type="spellStart"/>
            <w:r w:rsidRPr="003154DF">
              <w:rPr>
                <w:rFonts w:ascii="Arial" w:eastAsia="맑은 고딕" w:hAnsi="Arial" w:cs="Arial"/>
                <w:i/>
                <w:kern w:val="0"/>
                <w:sz w:val="18"/>
                <w:szCs w:val="20"/>
              </w:rPr>
              <w:t>i</w:t>
            </w:r>
            <w:proofErr w:type="spellEnd"/>
            <w:r w:rsidRPr="003154DF">
              <w:rPr>
                <w:rFonts w:ascii="Arial" w:eastAsia="맑은 고딕" w:hAnsi="Arial" w:cs="Arial"/>
                <w:i/>
                <w:kern w:val="0"/>
                <w:sz w:val="18"/>
                <w:szCs w:val="20"/>
              </w:rPr>
              <w:t>).(v))</w:t>
            </w:r>
          </w:p>
        </w:tc>
        <w:tc>
          <w:tcPr>
            <w:tcW w:w="3209" w:type="dxa"/>
          </w:tcPr>
          <w:p w14:paraId="36CBA7AD" w14:textId="77777777" w:rsidR="003154DF" w:rsidRPr="003154DF" w:rsidRDefault="003154DF" w:rsidP="003154DF">
            <w:pPr>
              <w:widowControl/>
              <w:wordWrap/>
              <w:autoSpaceDE/>
              <w:autoSpaceDN/>
              <w:rPr>
                <w:rFonts w:ascii="Arial" w:hAnsi="Arial" w:cs="Arial"/>
                <w:b/>
                <w:bCs/>
                <w:sz w:val="18"/>
                <w:szCs w:val="20"/>
                <w:lang w:val="en-GB"/>
              </w:rPr>
            </w:pPr>
          </w:p>
        </w:tc>
      </w:tr>
    </w:tbl>
    <w:p w14:paraId="53CD5F23" w14:textId="77777777" w:rsidR="00C5215A" w:rsidRPr="003154DF" w:rsidRDefault="00C5215A" w:rsidP="00B55ABF">
      <w:pPr>
        <w:widowControl/>
        <w:wordWrap/>
        <w:autoSpaceDE/>
        <w:autoSpaceDN/>
        <w:rPr>
          <w:rFonts w:ascii="Arial" w:hAnsi="Arial" w:cs="Arial"/>
          <w:b/>
          <w:bCs/>
          <w:sz w:val="18"/>
          <w:szCs w:val="20"/>
          <w:lang w:val="en-GB"/>
        </w:rPr>
      </w:pPr>
    </w:p>
    <w:p w14:paraId="46092186" w14:textId="77777777" w:rsidR="001B0843" w:rsidRDefault="001B0843" w:rsidP="001B0843">
      <w:pPr>
        <w:pStyle w:val="af1"/>
        <w:keepNext/>
      </w:pPr>
      <w:r>
        <w:t xml:space="preserve">Box </w:t>
      </w:r>
      <w:r w:rsidR="00D52B5E">
        <w:fldChar w:fldCharType="begin"/>
      </w:r>
      <w:r w:rsidR="00D52B5E">
        <w:instrText xml:space="preserve"> SEQ Box \* ARABIC </w:instrText>
      </w:r>
      <w:r w:rsidR="00D52B5E">
        <w:fldChar w:fldCharType="separate"/>
      </w:r>
      <w:r w:rsidR="001C42EC">
        <w:rPr>
          <w:noProof/>
        </w:rPr>
        <w:t>1</w:t>
      </w:r>
      <w:r w:rsidR="00D52B5E">
        <w:rPr>
          <w:noProof/>
        </w:rPr>
        <w:fldChar w:fldCharType="end"/>
      </w:r>
      <w:r>
        <w:t>. Outline of the initial report proposed by the ROK</w:t>
      </w:r>
    </w:p>
    <w:tbl>
      <w:tblPr>
        <w:tblStyle w:val="ac"/>
        <w:tblW w:w="0" w:type="auto"/>
        <w:tblLook w:val="04A0" w:firstRow="1" w:lastRow="0" w:firstColumn="1" w:lastColumn="0" w:noHBand="0" w:noVBand="1"/>
      </w:tblPr>
      <w:tblGrid>
        <w:gridCol w:w="9016"/>
      </w:tblGrid>
      <w:tr w:rsidR="001B0843" w:rsidRPr="00AB7159" w14:paraId="50ED9769" w14:textId="77777777" w:rsidTr="00F42988">
        <w:tc>
          <w:tcPr>
            <w:tcW w:w="9016" w:type="dxa"/>
          </w:tcPr>
          <w:p w14:paraId="6757E2C0" w14:textId="77777777" w:rsidR="001B0843" w:rsidRPr="00AB7159" w:rsidRDefault="001B0843" w:rsidP="00F42988">
            <w:pPr>
              <w:pStyle w:val="aa"/>
              <w:ind w:left="880"/>
              <w:rPr>
                <w:rFonts w:ascii="Arial" w:eastAsia="휴먼명조" w:hAnsi="Arial" w:cs="Arial"/>
                <w:b/>
                <w:color w:val="auto"/>
                <w:sz w:val="20"/>
                <w:szCs w:val="20"/>
              </w:rPr>
            </w:pPr>
            <w:r w:rsidRPr="00AB7159">
              <w:rPr>
                <w:rFonts w:ascii="Arial" w:eastAsia="휴먼명조" w:hAnsi="Arial" w:cs="Arial"/>
                <w:b/>
                <w:color w:val="auto"/>
                <w:sz w:val="20"/>
                <w:szCs w:val="20"/>
              </w:rPr>
              <w:t>1. Introduction / National circumstances</w:t>
            </w:r>
          </w:p>
          <w:p w14:paraId="63A31579" w14:textId="77777777" w:rsidR="001B0843" w:rsidRPr="00AB7159" w:rsidRDefault="001B0843" w:rsidP="00DF56C4">
            <w:pPr>
              <w:pStyle w:val="aa"/>
              <w:rPr>
                <w:rFonts w:ascii="Arial" w:eastAsia="휴먼명조" w:hAnsi="Arial" w:cs="Arial"/>
                <w:color w:val="auto"/>
                <w:sz w:val="20"/>
                <w:szCs w:val="20"/>
              </w:rPr>
            </w:pPr>
          </w:p>
          <w:p w14:paraId="027BAB1D" w14:textId="77777777" w:rsidR="001B0843" w:rsidRPr="008B3000" w:rsidRDefault="001B0843" w:rsidP="00F42988">
            <w:pPr>
              <w:pStyle w:val="aa"/>
              <w:ind w:left="880"/>
              <w:rPr>
                <w:rFonts w:ascii="Arial" w:eastAsia="휴먼명조" w:hAnsi="Arial" w:cs="Arial"/>
                <w:b/>
                <w:i/>
                <w:color w:val="auto"/>
                <w:sz w:val="20"/>
                <w:szCs w:val="20"/>
              </w:rPr>
            </w:pPr>
            <w:r w:rsidRPr="008B3000">
              <w:rPr>
                <w:rFonts w:ascii="Arial" w:eastAsia="바탕" w:hAnsi="Arial" w:cs="Arial"/>
                <w:b/>
                <w:color w:val="auto"/>
                <w:sz w:val="20"/>
                <w:szCs w:val="20"/>
              </w:rPr>
              <w:t xml:space="preserve">2. </w:t>
            </w:r>
            <w:r w:rsidRPr="008B3000">
              <w:rPr>
                <w:rFonts w:ascii="Arial" w:eastAsia="휴먼명조" w:hAnsi="Arial" w:cs="Arial"/>
                <w:b/>
                <w:color w:val="auto"/>
                <w:sz w:val="20"/>
                <w:szCs w:val="20"/>
              </w:rPr>
              <w:t xml:space="preserve">Fulfilment of participation responsibilities as per para. 4(a) – (f) of the 6.2 guidance  </w:t>
            </w:r>
            <w:r w:rsidRPr="008B3000">
              <w:rPr>
                <w:rFonts w:ascii="Times New Roman" w:eastAsia="휴먼명조" w:hAnsi="Times New Roman" w:cs="Times New Roman"/>
                <w:b/>
                <w:i/>
                <w:color w:val="auto"/>
                <w:sz w:val="20"/>
                <w:szCs w:val="20"/>
                <w:highlight w:val="cyan"/>
              </w:rPr>
              <w:t>(para.18.(a))</w:t>
            </w:r>
          </w:p>
          <w:p w14:paraId="372A9951" w14:textId="77777777" w:rsidR="001B0843" w:rsidRPr="00B83C32" w:rsidRDefault="001B0843" w:rsidP="00F42988">
            <w:pPr>
              <w:pStyle w:val="aa"/>
              <w:ind w:left="880"/>
              <w:rPr>
                <w:rFonts w:ascii="Arial" w:eastAsia="휴먼명조" w:hAnsi="Arial" w:cs="Arial"/>
                <w:color w:val="auto"/>
                <w:sz w:val="20"/>
                <w:szCs w:val="20"/>
              </w:rPr>
            </w:pPr>
          </w:p>
          <w:p w14:paraId="78488D04" w14:textId="77777777" w:rsidR="001B0843" w:rsidRPr="008B3000" w:rsidRDefault="001B0843" w:rsidP="00F42988">
            <w:pPr>
              <w:pStyle w:val="aa"/>
              <w:ind w:left="880"/>
              <w:rPr>
                <w:rFonts w:ascii="Times New Roman" w:eastAsia="휴먼명조" w:hAnsi="Times New Roman" w:cs="Times New Roman"/>
                <w:b/>
                <w:i/>
                <w:color w:val="auto"/>
                <w:sz w:val="20"/>
                <w:szCs w:val="20"/>
                <w:highlight w:val="cyan"/>
              </w:rPr>
            </w:pPr>
            <w:r w:rsidRPr="008B3000">
              <w:rPr>
                <w:rFonts w:ascii="Arial" w:hAnsi="Arial" w:cs="Arial"/>
                <w:b/>
                <w:color w:val="auto"/>
                <w:sz w:val="20"/>
                <w:szCs w:val="20"/>
              </w:rPr>
              <w:t>3</w:t>
            </w:r>
            <w:r w:rsidRPr="008B3000">
              <w:rPr>
                <w:rFonts w:ascii="Arial" w:eastAsia="휴먼명조" w:hAnsi="Arial" w:cs="Arial"/>
                <w:b/>
                <w:color w:val="auto"/>
                <w:sz w:val="20"/>
                <w:szCs w:val="20"/>
              </w:rPr>
              <w:t xml:space="preserve">. Description of NDC </w:t>
            </w:r>
            <w:r w:rsidRPr="008B3000">
              <w:rPr>
                <w:rFonts w:ascii="Times New Roman" w:eastAsia="휴먼명조" w:hAnsi="Times New Roman" w:cs="Times New Roman"/>
                <w:b/>
                <w:i/>
                <w:color w:val="auto"/>
                <w:sz w:val="20"/>
                <w:szCs w:val="20"/>
                <w:highlight w:val="cyan"/>
              </w:rPr>
              <w:t>(para.18.(b)</w:t>
            </w:r>
            <w:r>
              <w:rPr>
                <w:rFonts w:ascii="Times New Roman" w:eastAsia="휴먼명조" w:hAnsi="Times New Roman" w:cs="Times New Roman"/>
                <w:b/>
                <w:i/>
                <w:color w:val="auto"/>
                <w:sz w:val="20"/>
                <w:szCs w:val="20"/>
                <w:highlight w:val="cyan"/>
              </w:rPr>
              <w:t>)</w:t>
            </w:r>
          </w:p>
          <w:p w14:paraId="1256D56E" w14:textId="77777777" w:rsidR="001B0843" w:rsidRPr="008B3000" w:rsidRDefault="001B0843" w:rsidP="00F42988">
            <w:pPr>
              <w:pStyle w:val="aa"/>
              <w:ind w:left="880" w:firstLine="8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3.1. Target(s) and description including target type(s) </w:t>
            </w:r>
            <w:r w:rsidRPr="008B3000">
              <w:rPr>
                <w:rFonts w:ascii="Times New Roman" w:eastAsia="휴먼명조" w:hAnsi="Times New Roman" w:cs="Times New Roman"/>
                <w:i/>
                <w:color w:val="auto"/>
                <w:sz w:val="20"/>
                <w:szCs w:val="20"/>
                <w:highlight w:val="cyan"/>
              </w:rPr>
              <w:t>(decision 18/CMA.1 Annex para.64.(a))</w:t>
            </w:r>
          </w:p>
          <w:p w14:paraId="00F23063" w14:textId="77777777" w:rsidR="001B0843" w:rsidRPr="008B3000" w:rsidRDefault="001B0843" w:rsidP="00F42988">
            <w:pPr>
              <w:pStyle w:val="aa"/>
              <w:ind w:left="880" w:firstLine="8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3.2. Target year(s) or period(s), and whether they are single-year or multi-year target(s) </w:t>
            </w:r>
            <w:r w:rsidRPr="008B3000">
              <w:rPr>
                <w:rFonts w:ascii="Times New Roman" w:eastAsia="휴먼명조" w:hAnsi="Times New Roman" w:cs="Times New Roman"/>
                <w:i/>
                <w:color w:val="auto"/>
                <w:sz w:val="20"/>
                <w:szCs w:val="20"/>
                <w:highlight w:val="cyan"/>
              </w:rPr>
              <w:t>(decision 18/CMA.1 Annex para.64.(b))</w:t>
            </w:r>
          </w:p>
          <w:p w14:paraId="1CBDEBD5" w14:textId="77777777" w:rsidR="001B0843" w:rsidRPr="0082419F" w:rsidRDefault="001B0843" w:rsidP="00F42988">
            <w:pPr>
              <w:pStyle w:val="aa"/>
              <w:ind w:left="880" w:firstLine="8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3.3. Reference point(s), level(s), baseline(s), base year(s) or starting point(s), and their respective value(s); </w:t>
            </w:r>
            <w:r w:rsidRPr="0082419F">
              <w:rPr>
                <w:rFonts w:ascii="Times New Roman" w:eastAsia="휴먼명조" w:hAnsi="Times New Roman" w:cs="Times New Roman"/>
                <w:i/>
                <w:color w:val="auto"/>
                <w:sz w:val="20"/>
                <w:szCs w:val="20"/>
                <w:highlight w:val="cyan"/>
              </w:rPr>
              <w:t>(decision 18/CMA.1 Annex para.64.(c))</w:t>
            </w:r>
          </w:p>
          <w:p w14:paraId="4A2F6D52" w14:textId="77777777" w:rsidR="001B0843" w:rsidRPr="0082419F" w:rsidRDefault="001B0843" w:rsidP="00F42988">
            <w:pPr>
              <w:pStyle w:val="aa"/>
              <w:ind w:left="880" w:firstLine="8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3.4. Time frame(s) and/or periods for implementation </w:t>
            </w:r>
            <w:r w:rsidRPr="0082419F">
              <w:rPr>
                <w:rFonts w:ascii="Times New Roman" w:eastAsia="휴먼명조" w:hAnsi="Times New Roman" w:cs="Times New Roman"/>
                <w:i/>
                <w:color w:val="auto"/>
                <w:sz w:val="20"/>
                <w:szCs w:val="20"/>
                <w:highlight w:val="cyan"/>
              </w:rPr>
              <w:t>(decision 18/CMA.1 Annex para.64.(d))</w:t>
            </w:r>
          </w:p>
          <w:p w14:paraId="13AD71AA" w14:textId="77777777" w:rsidR="001B0843" w:rsidRPr="0082419F" w:rsidRDefault="001B0843" w:rsidP="00F42988">
            <w:pPr>
              <w:pStyle w:val="aa"/>
              <w:ind w:left="880" w:firstLine="8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3.5. Scope and coverage, including, as relevant, sectors, categories, activities, sources and sinks, pools and gases </w:t>
            </w:r>
            <w:r w:rsidRPr="0082419F">
              <w:rPr>
                <w:rFonts w:ascii="Times New Roman" w:eastAsia="휴먼명조" w:hAnsi="Times New Roman" w:cs="Times New Roman"/>
                <w:i/>
                <w:color w:val="auto"/>
                <w:sz w:val="20"/>
                <w:szCs w:val="20"/>
                <w:highlight w:val="cyan"/>
              </w:rPr>
              <w:t>(decision 18/CMA.1 Annex para.64.(e))</w:t>
            </w:r>
          </w:p>
          <w:p w14:paraId="340217E3" w14:textId="77777777" w:rsidR="001B0843" w:rsidRDefault="001B0843" w:rsidP="00F42988">
            <w:pPr>
              <w:pStyle w:val="aa"/>
              <w:ind w:left="880" w:firstLine="800"/>
              <w:rPr>
                <w:rFonts w:ascii="Arial" w:hAnsi="Arial" w:cs="Arial"/>
                <w:color w:val="auto"/>
                <w:sz w:val="20"/>
                <w:szCs w:val="20"/>
              </w:rPr>
            </w:pPr>
          </w:p>
          <w:p w14:paraId="4F5B279F" w14:textId="77777777" w:rsidR="001B0843" w:rsidRPr="0082419F" w:rsidRDefault="001B0843" w:rsidP="00F42988">
            <w:pPr>
              <w:pStyle w:val="aa"/>
              <w:ind w:left="880" w:firstLine="800"/>
              <w:rPr>
                <w:rFonts w:ascii="Times New Roman" w:eastAsia="휴먼명조" w:hAnsi="Times New Roman" w:cs="Times New Roman"/>
                <w:i/>
                <w:color w:val="auto"/>
                <w:sz w:val="20"/>
                <w:szCs w:val="20"/>
                <w:highlight w:val="cyan"/>
              </w:rPr>
            </w:pPr>
            <w:r w:rsidRPr="00AB7159">
              <w:rPr>
                <w:rFonts w:ascii="Arial" w:hAnsi="Arial" w:cs="Arial"/>
                <w:color w:val="auto"/>
                <w:sz w:val="20"/>
                <w:szCs w:val="20"/>
              </w:rPr>
              <w:t>3.6</w:t>
            </w:r>
            <w:r w:rsidRPr="00AB7159">
              <w:rPr>
                <w:rFonts w:ascii="Arial" w:eastAsia="휴먼명조" w:hAnsi="Arial" w:cs="Arial"/>
                <w:color w:val="auto"/>
                <w:sz w:val="20"/>
                <w:szCs w:val="20"/>
              </w:rPr>
              <w:t xml:space="preserve">. Intention to use cooperative approaches that involve the use of internationally </w:t>
            </w:r>
            <w:r w:rsidRPr="00AB7159">
              <w:rPr>
                <w:rFonts w:ascii="Arial" w:eastAsia="휴먼명조" w:hAnsi="Arial" w:cs="Arial"/>
                <w:color w:val="auto"/>
                <w:sz w:val="20"/>
                <w:szCs w:val="20"/>
              </w:rPr>
              <w:lastRenderedPageBreak/>
              <w:t xml:space="preserve">transferred mitigation outcomes under Article 6 towards NDCs under Article 4 of the Paris Agreement </w:t>
            </w:r>
            <w:r w:rsidRPr="0082419F">
              <w:rPr>
                <w:rFonts w:ascii="Times New Roman" w:eastAsia="휴먼명조" w:hAnsi="Times New Roman" w:cs="Times New Roman"/>
                <w:i/>
                <w:color w:val="auto"/>
                <w:sz w:val="20"/>
                <w:szCs w:val="20"/>
                <w:highlight w:val="cyan"/>
              </w:rPr>
              <w:t>(decision 18/CMA.1 Annex para.64.(f))</w:t>
            </w:r>
          </w:p>
          <w:p w14:paraId="00AA5A5A" w14:textId="77777777" w:rsidR="001B0843" w:rsidRPr="0082419F" w:rsidRDefault="001B0843" w:rsidP="00F42988">
            <w:pPr>
              <w:pStyle w:val="aa"/>
              <w:ind w:left="880" w:firstLine="366"/>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3.7. Any updates or clarifications of previously reported information </w:t>
            </w:r>
            <w:r w:rsidRPr="0082419F">
              <w:rPr>
                <w:rFonts w:ascii="Times New Roman" w:eastAsia="휴먼명조" w:hAnsi="Times New Roman" w:cs="Times New Roman"/>
                <w:i/>
                <w:color w:val="auto"/>
                <w:sz w:val="20"/>
                <w:szCs w:val="20"/>
                <w:highlight w:val="cyan"/>
              </w:rPr>
              <w:t>(decision 18/CMA.1 Annex para.64.(g))</w:t>
            </w:r>
          </w:p>
          <w:p w14:paraId="03FC381E" w14:textId="77777777" w:rsidR="001B0843" w:rsidRPr="00AB7159" w:rsidRDefault="001B0843" w:rsidP="00F42988">
            <w:pPr>
              <w:pStyle w:val="aa"/>
              <w:ind w:left="880"/>
              <w:rPr>
                <w:rFonts w:ascii="Arial" w:hAnsi="Arial" w:cs="Arial"/>
                <w:color w:val="auto"/>
                <w:sz w:val="20"/>
                <w:szCs w:val="20"/>
              </w:rPr>
            </w:pPr>
          </w:p>
          <w:p w14:paraId="7E019C6E" w14:textId="77777777" w:rsidR="001B0843" w:rsidRPr="00614A46" w:rsidRDefault="001B0843" w:rsidP="00F42988">
            <w:pPr>
              <w:pStyle w:val="aa"/>
              <w:ind w:left="880"/>
              <w:rPr>
                <w:rFonts w:ascii="Arial" w:hAnsi="Arial" w:cs="Arial"/>
                <w:b/>
                <w:color w:val="auto"/>
                <w:sz w:val="20"/>
                <w:szCs w:val="20"/>
              </w:rPr>
            </w:pPr>
            <w:r w:rsidRPr="00614A46">
              <w:rPr>
                <w:rFonts w:ascii="Arial" w:eastAsia="휴먼명조" w:hAnsi="Arial" w:cs="Arial"/>
                <w:b/>
                <w:color w:val="auto"/>
                <w:sz w:val="20"/>
                <w:szCs w:val="20"/>
              </w:rPr>
              <w:t xml:space="preserve">4. ITMO metrics, the method for applying corresponding adjustments, and description of the method (if the method is a multi-year trajectory, trajectories or budget) </w:t>
            </w:r>
            <w:r w:rsidRPr="00614A46">
              <w:rPr>
                <w:rFonts w:ascii="Times New Roman" w:eastAsia="휴먼명조" w:hAnsi="Times New Roman" w:cs="Times New Roman"/>
                <w:b/>
                <w:i/>
                <w:color w:val="auto"/>
                <w:sz w:val="20"/>
                <w:szCs w:val="20"/>
                <w:highlight w:val="cyan"/>
              </w:rPr>
              <w:t>(para.18.(c))</w:t>
            </w:r>
          </w:p>
          <w:p w14:paraId="284A5037" w14:textId="77777777" w:rsidR="001B0843" w:rsidRPr="008B3000" w:rsidRDefault="001B0843" w:rsidP="00F42988">
            <w:pPr>
              <w:pStyle w:val="aa"/>
              <w:ind w:left="880"/>
              <w:rPr>
                <w:rFonts w:ascii="Arial" w:hAnsi="Arial" w:cs="Arial"/>
                <w:color w:val="auto"/>
                <w:sz w:val="20"/>
                <w:szCs w:val="20"/>
              </w:rPr>
            </w:pPr>
          </w:p>
          <w:p w14:paraId="45F410E4" w14:textId="5E2B6322" w:rsidR="001B0843" w:rsidRDefault="001B0843" w:rsidP="00F42988">
            <w:pPr>
              <w:pStyle w:val="aa"/>
              <w:ind w:left="880"/>
              <w:rPr>
                <w:rFonts w:ascii="Times New Roman" w:eastAsia="휴먼명조" w:hAnsi="Times New Roman" w:cs="Times New Roman"/>
                <w:b/>
                <w:i/>
                <w:color w:val="auto"/>
                <w:sz w:val="20"/>
                <w:szCs w:val="20"/>
                <w:highlight w:val="cyan"/>
              </w:rPr>
            </w:pPr>
            <w:r w:rsidRPr="00614A46">
              <w:rPr>
                <w:rFonts w:ascii="Arial" w:eastAsia="휴먼명조" w:hAnsi="Arial" w:cs="Arial"/>
                <w:b/>
                <w:color w:val="auto"/>
                <w:sz w:val="20"/>
                <w:szCs w:val="20"/>
              </w:rPr>
              <w:t xml:space="preserve">5. Quantified information on mitigation information in the NDC: </w:t>
            </w:r>
            <w:r w:rsidRPr="00614A46">
              <w:rPr>
                <w:rFonts w:ascii="Times New Roman" w:eastAsia="휴먼명조" w:hAnsi="Times New Roman" w:cs="Times New Roman"/>
                <w:b/>
                <w:i/>
                <w:color w:val="auto"/>
                <w:sz w:val="20"/>
                <w:szCs w:val="20"/>
                <w:highlight w:val="cyan"/>
              </w:rPr>
              <w:t>(para.18.(d))</w:t>
            </w:r>
          </w:p>
          <w:p w14:paraId="3029A95C" w14:textId="2A3F110A" w:rsidR="0013293F" w:rsidRPr="0013293F" w:rsidRDefault="0013293F" w:rsidP="0013293F">
            <w:pPr>
              <w:pStyle w:val="aa"/>
              <w:ind w:left="880" w:firstLineChars="100" w:firstLine="200"/>
              <w:rPr>
                <w:rFonts w:ascii="Arial" w:eastAsia="휴먼명조" w:hAnsi="Arial" w:cs="Arial"/>
                <w:color w:val="auto"/>
                <w:sz w:val="20"/>
                <w:szCs w:val="20"/>
              </w:rPr>
            </w:pPr>
            <w:r>
              <w:rPr>
                <w:rFonts w:ascii="Arial" w:eastAsia="휴먼명조" w:hAnsi="Arial" w:cs="Arial"/>
                <w:color w:val="auto"/>
                <w:sz w:val="20"/>
                <w:szCs w:val="20"/>
              </w:rPr>
              <w:t>5</w:t>
            </w:r>
            <w:r w:rsidRPr="00AB7159">
              <w:rPr>
                <w:rFonts w:ascii="Arial" w:eastAsia="휴먼명조" w:hAnsi="Arial" w:cs="Arial"/>
                <w:color w:val="auto"/>
                <w:sz w:val="20"/>
                <w:szCs w:val="20"/>
              </w:rPr>
              <w:t xml:space="preserve">.1. </w:t>
            </w:r>
            <w:r>
              <w:rPr>
                <w:rFonts w:ascii="Arial" w:eastAsia="휴먼명조" w:hAnsi="Arial" w:cs="Arial" w:hint="eastAsia"/>
                <w:color w:val="auto"/>
                <w:sz w:val="20"/>
                <w:szCs w:val="20"/>
              </w:rPr>
              <w:t>S</w:t>
            </w:r>
            <w:r>
              <w:rPr>
                <w:rFonts w:ascii="Arial" w:eastAsia="휴먼명조" w:hAnsi="Arial" w:cs="Arial"/>
                <w:color w:val="auto"/>
                <w:sz w:val="20"/>
                <w:szCs w:val="20"/>
              </w:rPr>
              <w:t>ectors</w:t>
            </w:r>
          </w:p>
          <w:p w14:paraId="46D09975" w14:textId="7AFED13B" w:rsidR="0013293F" w:rsidRPr="0013293F" w:rsidRDefault="0013293F" w:rsidP="0013293F">
            <w:pPr>
              <w:pStyle w:val="aa"/>
              <w:ind w:left="880" w:firstLineChars="100" w:firstLine="200"/>
              <w:rPr>
                <w:rFonts w:ascii="Arial" w:eastAsia="휴먼명조" w:hAnsi="Arial" w:cs="Arial"/>
                <w:color w:val="auto"/>
                <w:sz w:val="20"/>
                <w:szCs w:val="20"/>
              </w:rPr>
            </w:pPr>
            <w:r>
              <w:rPr>
                <w:rFonts w:ascii="Arial" w:eastAsia="휴먼명조" w:hAnsi="Arial" w:cs="Arial"/>
                <w:color w:val="auto"/>
                <w:sz w:val="20"/>
                <w:szCs w:val="20"/>
              </w:rPr>
              <w:t>5</w:t>
            </w:r>
            <w:r w:rsidRPr="00AB7159">
              <w:rPr>
                <w:rFonts w:ascii="Arial" w:eastAsia="휴먼명조" w:hAnsi="Arial" w:cs="Arial"/>
                <w:color w:val="auto"/>
                <w:sz w:val="20"/>
                <w:szCs w:val="20"/>
              </w:rPr>
              <w:t>.</w:t>
            </w:r>
            <w:r>
              <w:rPr>
                <w:rFonts w:ascii="Arial" w:eastAsia="휴먼명조" w:hAnsi="Arial" w:cs="Arial"/>
                <w:color w:val="auto"/>
                <w:sz w:val="20"/>
                <w:szCs w:val="20"/>
              </w:rPr>
              <w:t>2</w:t>
            </w:r>
            <w:r w:rsidRPr="00AB7159">
              <w:rPr>
                <w:rFonts w:ascii="Arial" w:eastAsia="휴먼명조" w:hAnsi="Arial" w:cs="Arial"/>
                <w:color w:val="auto"/>
                <w:sz w:val="20"/>
                <w:szCs w:val="20"/>
              </w:rPr>
              <w:t xml:space="preserve">. </w:t>
            </w:r>
            <w:r>
              <w:rPr>
                <w:rFonts w:ascii="Arial" w:eastAsia="휴먼명조" w:hAnsi="Arial" w:cs="Arial" w:hint="eastAsia"/>
                <w:color w:val="auto"/>
                <w:sz w:val="20"/>
                <w:szCs w:val="20"/>
              </w:rPr>
              <w:t>S</w:t>
            </w:r>
            <w:r>
              <w:rPr>
                <w:rFonts w:ascii="Arial" w:eastAsia="휴먼명조" w:hAnsi="Arial" w:cs="Arial"/>
                <w:color w:val="auto"/>
                <w:sz w:val="20"/>
                <w:szCs w:val="20"/>
              </w:rPr>
              <w:t>ources</w:t>
            </w:r>
          </w:p>
          <w:p w14:paraId="48C193B8" w14:textId="73145C64" w:rsidR="0013293F" w:rsidRPr="0013293F" w:rsidRDefault="0013293F" w:rsidP="0013293F">
            <w:pPr>
              <w:pStyle w:val="aa"/>
              <w:ind w:left="880" w:firstLineChars="100" w:firstLine="200"/>
              <w:rPr>
                <w:rFonts w:ascii="Arial" w:eastAsia="휴먼명조" w:hAnsi="Arial" w:cs="Arial"/>
                <w:color w:val="auto"/>
                <w:sz w:val="20"/>
                <w:szCs w:val="20"/>
              </w:rPr>
            </w:pPr>
            <w:r>
              <w:rPr>
                <w:rFonts w:ascii="Arial" w:eastAsia="휴먼명조" w:hAnsi="Arial" w:cs="Arial"/>
                <w:color w:val="auto"/>
                <w:sz w:val="20"/>
                <w:szCs w:val="20"/>
              </w:rPr>
              <w:t>5</w:t>
            </w:r>
            <w:r w:rsidRPr="00AB7159">
              <w:rPr>
                <w:rFonts w:ascii="Arial" w:eastAsia="휴먼명조" w:hAnsi="Arial" w:cs="Arial"/>
                <w:color w:val="auto"/>
                <w:sz w:val="20"/>
                <w:szCs w:val="20"/>
              </w:rPr>
              <w:t>.</w:t>
            </w:r>
            <w:r>
              <w:rPr>
                <w:rFonts w:ascii="Arial" w:eastAsia="휴먼명조" w:hAnsi="Arial" w:cs="Arial"/>
                <w:color w:val="auto"/>
                <w:sz w:val="20"/>
                <w:szCs w:val="20"/>
              </w:rPr>
              <w:t>3</w:t>
            </w:r>
            <w:r w:rsidRPr="00AB7159">
              <w:rPr>
                <w:rFonts w:ascii="Arial" w:eastAsia="휴먼명조" w:hAnsi="Arial" w:cs="Arial"/>
                <w:color w:val="auto"/>
                <w:sz w:val="20"/>
                <w:szCs w:val="20"/>
              </w:rPr>
              <w:t xml:space="preserve">. </w:t>
            </w:r>
            <w:r>
              <w:rPr>
                <w:rFonts w:ascii="Arial" w:eastAsia="휴먼명조" w:hAnsi="Arial" w:cs="Arial"/>
                <w:color w:val="auto"/>
                <w:sz w:val="20"/>
                <w:szCs w:val="20"/>
              </w:rPr>
              <w:t>GHGs</w:t>
            </w:r>
          </w:p>
          <w:p w14:paraId="454CDA0D" w14:textId="2C041FDC" w:rsidR="0013293F" w:rsidRPr="0013293F" w:rsidRDefault="0013293F" w:rsidP="0013293F">
            <w:pPr>
              <w:pStyle w:val="aa"/>
              <w:ind w:left="880" w:firstLineChars="100" w:firstLine="200"/>
              <w:rPr>
                <w:rFonts w:ascii="Arial" w:eastAsia="휴먼명조" w:hAnsi="Arial" w:cs="Arial"/>
                <w:color w:val="auto"/>
                <w:sz w:val="20"/>
                <w:szCs w:val="20"/>
              </w:rPr>
            </w:pPr>
            <w:r>
              <w:rPr>
                <w:rFonts w:ascii="Arial" w:eastAsia="휴먼명조" w:hAnsi="Arial" w:cs="Arial"/>
                <w:color w:val="auto"/>
                <w:sz w:val="20"/>
                <w:szCs w:val="20"/>
              </w:rPr>
              <w:t>5</w:t>
            </w:r>
            <w:r w:rsidRPr="00AB7159">
              <w:rPr>
                <w:rFonts w:ascii="Arial" w:eastAsia="휴먼명조" w:hAnsi="Arial" w:cs="Arial"/>
                <w:color w:val="auto"/>
                <w:sz w:val="20"/>
                <w:szCs w:val="20"/>
              </w:rPr>
              <w:t>.</w:t>
            </w:r>
            <w:r>
              <w:rPr>
                <w:rFonts w:ascii="Arial" w:eastAsia="휴먼명조" w:hAnsi="Arial" w:cs="Arial"/>
                <w:color w:val="auto"/>
                <w:sz w:val="20"/>
                <w:szCs w:val="20"/>
              </w:rPr>
              <w:t>4</w:t>
            </w:r>
            <w:r w:rsidRPr="00AB7159">
              <w:rPr>
                <w:rFonts w:ascii="Arial" w:eastAsia="휴먼명조" w:hAnsi="Arial" w:cs="Arial"/>
                <w:color w:val="auto"/>
                <w:sz w:val="20"/>
                <w:szCs w:val="20"/>
              </w:rPr>
              <w:t xml:space="preserve">. </w:t>
            </w:r>
            <w:r>
              <w:rPr>
                <w:rFonts w:ascii="Arial" w:eastAsia="휴먼명조" w:hAnsi="Arial" w:cs="Arial"/>
                <w:color w:val="auto"/>
                <w:sz w:val="20"/>
                <w:szCs w:val="20"/>
              </w:rPr>
              <w:t>Time periods</w:t>
            </w:r>
          </w:p>
          <w:p w14:paraId="30560741" w14:textId="42643DBC" w:rsidR="0013293F" w:rsidRPr="0013293F" w:rsidRDefault="0013293F" w:rsidP="0013293F">
            <w:pPr>
              <w:pStyle w:val="aa"/>
              <w:ind w:left="880" w:firstLineChars="100" w:firstLine="200"/>
              <w:rPr>
                <w:rFonts w:ascii="Arial" w:eastAsia="휴먼명조" w:hAnsi="Arial" w:cs="Arial"/>
                <w:color w:val="auto"/>
                <w:sz w:val="20"/>
                <w:szCs w:val="20"/>
              </w:rPr>
            </w:pPr>
            <w:r>
              <w:rPr>
                <w:rFonts w:ascii="Arial" w:eastAsia="휴먼명조" w:hAnsi="Arial" w:cs="Arial"/>
                <w:color w:val="auto"/>
                <w:sz w:val="20"/>
                <w:szCs w:val="20"/>
              </w:rPr>
              <w:t>5</w:t>
            </w:r>
            <w:r w:rsidRPr="00AB7159">
              <w:rPr>
                <w:rFonts w:ascii="Arial" w:eastAsia="휴먼명조" w:hAnsi="Arial" w:cs="Arial"/>
                <w:color w:val="auto"/>
                <w:sz w:val="20"/>
                <w:szCs w:val="20"/>
              </w:rPr>
              <w:t>.</w:t>
            </w:r>
            <w:r>
              <w:rPr>
                <w:rFonts w:ascii="Arial" w:eastAsia="휴먼명조" w:hAnsi="Arial" w:cs="Arial"/>
                <w:color w:val="auto"/>
                <w:sz w:val="20"/>
                <w:szCs w:val="20"/>
              </w:rPr>
              <w:t>5</w:t>
            </w:r>
            <w:r w:rsidRPr="00AB7159">
              <w:rPr>
                <w:rFonts w:ascii="Arial" w:eastAsia="휴먼명조" w:hAnsi="Arial" w:cs="Arial"/>
                <w:color w:val="auto"/>
                <w:sz w:val="20"/>
                <w:szCs w:val="20"/>
              </w:rPr>
              <w:t xml:space="preserve">. </w:t>
            </w:r>
            <w:r>
              <w:rPr>
                <w:rFonts w:ascii="Arial" w:eastAsia="휴먼명조" w:hAnsi="Arial" w:cs="Arial"/>
                <w:color w:val="auto"/>
                <w:sz w:val="20"/>
                <w:szCs w:val="20"/>
              </w:rPr>
              <w:t>Reference level of emissions and removals</w:t>
            </w:r>
          </w:p>
          <w:p w14:paraId="6F611CFB" w14:textId="5AA417D9" w:rsidR="0013293F" w:rsidRPr="0013293F" w:rsidRDefault="0013293F" w:rsidP="0013293F">
            <w:pPr>
              <w:pStyle w:val="aa"/>
              <w:ind w:left="880" w:firstLineChars="100" w:firstLine="200"/>
              <w:rPr>
                <w:rFonts w:ascii="Arial" w:eastAsia="휴먼명조" w:hAnsi="Arial" w:cs="Arial"/>
                <w:color w:val="auto"/>
                <w:sz w:val="20"/>
                <w:szCs w:val="20"/>
              </w:rPr>
            </w:pPr>
            <w:r>
              <w:rPr>
                <w:rFonts w:ascii="Arial" w:eastAsia="휴먼명조" w:hAnsi="Arial" w:cs="Arial"/>
                <w:color w:val="auto"/>
                <w:sz w:val="20"/>
                <w:szCs w:val="20"/>
              </w:rPr>
              <w:t>5</w:t>
            </w:r>
            <w:r w:rsidRPr="00AB7159">
              <w:rPr>
                <w:rFonts w:ascii="Arial" w:eastAsia="휴먼명조" w:hAnsi="Arial" w:cs="Arial"/>
                <w:color w:val="auto"/>
                <w:sz w:val="20"/>
                <w:szCs w:val="20"/>
              </w:rPr>
              <w:t>.</w:t>
            </w:r>
            <w:r>
              <w:rPr>
                <w:rFonts w:ascii="Arial" w:eastAsia="휴먼명조" w:hAnsi="Arial" w:cs="Arial"/>
                <w:color w:val="auto"/>
                <w:sz w:val="20"/>
                <w:szCs w:val="20"/>
              </w:rPr>
              <w:t>6</w:t>
            </w:r>
            <w:r w:rsidRPr="00AB7159">
              <w:rPr>
                <w:rFonts w:ascii="Arial" w:eastAsia="휴먼명조" w:hAnsi="Arial" w:cs="Arial"/>
                <w:color w:val="auto"/>
                <w:sz w:val="20"/>
                <w:szCs w:val="20"/>
              </w:rPr>
              <w:t xml:space="preserve">. </w:t>
            </w:r>
            <w:r>
              <w:rPr>
                <w:rFonts w:ascii="Arial" w:eastAsia="휴먼명조" w:hAnsi="Arial" w:cs="Arial"/>
                <w:color w:val="auto"/>
                <w:sz w:val="20"/>
                <w:szCs w:val="20"/>
              </w:rPr>
              <w:t>Target level</w:t>
            </w:r>
          </w:p>
          <w:p w14:paraId="7BA1B740" w14:textId="2AA18113" w:rsidR="0013293F" w:rsidRPr="0013293F" w:rsidRDefault="0013293F" w:rsidP="0013293F">
            <w:pPr>
              <w:pStyle w:val="aa"/>
              <w:ind w:left="880" w:firstLineChars="100" w:firstLine="200"/>
              <w:rPr>
                <w:rFonts w:ascii="Arial" w:eastAsia="휴먼명조" w:hAnsi="Arial" w:cs="Arial"/>
                <w:color w:val="auto"/>
                <w:sz w:val="20"/>
                <w:szCs w:val="20"/>
              </w:rPr>
            </w:pPr>
            <w:r>
              <w:rPr>
                <w:rFonts w:ascii="Arial" w:eastAsia="휴먼명조" w:hAnsi="Arial" w:cs="Arial"/>
                <w:color w:val="auto"/>
                <w:sz w:val="20"/>
                <w:szCs w:val="20"/>
              </w:rPr>
              <w:t>5</w:t>
            </w:r>
            <w:r w:rsidRPr="00AB7159">
              <w:rPr>
                <w:rFonts w:ascii="Arial" w:eastAsia="휴먼명조" w:hAnsi="Arial" w:cs="Arial"/>
                <w:color w:val="auto"/>
                <w:sz w:val="20"/>
                <w:szCs w:val="20"/>
              </w:rPr>
              <w:t>.</w:t>
            </w:r>
            <w:r>
              <w:rPr>
                <w:rFonts w:ascii="Arial" w:eastAsia="휴먼명조" w:hAnsi="Arial" w:cs="Arial"/>
                <w:color w:val="auto"/>
                <w:sz w:val="20"/>
                <w:szCs w:val="20"/>
              </w:rPr>
              <w:t>7</w:t>
            </w:r>
            <w:r w:rsidRPr="00AB7159">
              <w:rPr>
                <w:rFonts w:ascii="Arial" w:eastAsia="휴먼명조" w:hAnsi="Arial" w:cs="Arial"/>
                <w:color w:val="auto"/>
                <w:sz w:val="20"/>
                <w:szCs w:val="20"/>
              </w:rPr>
              <w:t xml:space="preserve">. </w:t>
            </w:r>
            <w:r>
              <w:rPr>
                <w:rFonts w:ascii="Arial" w:eastAsia="휴먼명조" w:hAnsi="Arial" w:cs="Arial"/>
                <w:color w:val="auto"/>
                <w:sz w:val="20"/>
                <w:szCs w:val="20"/>
              </w:rPr>
              <w:t xml:space="preserve">Methodology for quantification of the NDC in CO2 </w:t>
            </w:r>
            <w:proofErr w:type="spellStart"/>
            <w:r>
              <w:rPr>
                <w:rFonts w:ascii="Arial" w:eastAsia="휴먼명조" w:hAnsi="Arial" w:cs="Arial"/>
                <w:color w:val="auto"/>
                <w:sz w:val="20"/>
                <w:szCs w:val="20"/>
              </w:rPr>
              <w:t>eq</w:t>
            </w:r>
            <w:proofErr w:type="spellEnd"/>
            <w:r>
              <w:rPr>
                <w:rFonts w:ascii="Arial" w:eastAsia="휴먼명조" w:hAnsi="Arial" w:cs="Arial"/>
                <w:color w:val="auto"/>
                <w:sz w:val="20"/>
                <w:szCs w:val="20"/>
              </w:rPr>
              <w:t>, if applicable</w:t>
            </w:r>
          </w:p>
          <w:p w14:paraId="4186FCAC" w14:textId="77777777" w:rsidR="0013293F" w:rsidRPr="0013293F" w:rsidRDefault="0013293F" w:rsidP="00F42988">
            <w:pPr>
              <w:pStyle w:val="aa"/>
              <w:ind w:left="880"/>
              <w:rPr>
                <w:rFonts w:ascii="Arial" w:hAnsi="Arial" w:cs="Arial"/>
                <w:b/>
                <w:color w:val="auto"/>
                <w:sz w:val="20"/>
                <w:szCs w:val="20"/>
              </w:rPr>
            </w:pPr>
          </w:p>
          <w:p w14:paraId="5775CC55" w14:textId="77777777" w:rsidR="001B0843" w:rsidRPr="00614A46" w:rsidRDefault="001B0843" w:rsidP="00F42988">
            <w:pPr>
              <w:pStyle w:val="aa"/>
              <w:ind w:left="1346" w:hanging="466"/>
              <w:rPr>
                <w:rFonts w:ascii="Times New Roman" w:eastAsia="휴먼명조" w:hAnsi="Times New Roman" w:cs="Times New Roman"/>
                <w:b/>
                <w:i/>
                <w:color w:val="auto"/>
                <w:sz w:val="20"/>
                <w:szCs w:val="20"/>
                <w:highlight w:val="cyan"/>
              </w:rPr>
            </w:pPr>
            <w:r w:rsidRPr="00614A46">
              <w:rPr>
                <w:rFonts w:ascii="Arial" w:eastAsia="휴먼명조" w:hAnsi="Arial" w:cs="Arial"/>
                <w:b/>
                <w:color w:val="auto"/>
                <w:sz w:val="20"/>
                <w:szCs w:val="20"/>
              </w:rPr>
              <w:t xml:space="preserve">6. Quantified information, in a non-GHG metric, on the NDC or the portion in the relevant non-GHG indicator, if applicable </w:t>
            </w:r>
            <w:r w:rsidRPr="00614A46">
              <w:rPr>
                <w:rFonts w:ascii="Times New Roman" w:eastAsia="휴먼명조" w:hAnsi="Times New Roman" w:cs="Times New Roman"/>
                <w:b/>
                <w:i/>
                <w:color w:val="auto"/>
                <w:sz w:val="20"/>
                <w:szCs w:val="20"/>
                <w:highlight w:val="cyan"/>
              </w:rPr>
              <w:t>(para.18.(e))</w:t>
            </w:r>
          </w:p>
          <w:p w14:paraId="2198CB08" w14:textId="77777777" w:rsidR="001B0843" w:rsidRPr="00BF7FF3" w:rsidRDefault="001B0843" w:rsidP="00F42988">
            <w:pPr>
              <w:pStyle w:val="aa"/>
              <w:ind w:left="880"/>
              <w:rPr>
                <w:rFonts w:ascii="Arial" w:hAnsi="Arial" w:cs="Arial"/>
                <w:color w:val="auto"/>
                <w:sz w:val="20"/>
                <w:szCs w:val="20"/>
              </w:rPr>
            </w:pPr>
          </w:p>
          <w:p w14:paraId="7DB1B7A9" w14:textId="77777777" w:rsidR="001B0843" w:rsidRPr="00614A46" w:rsidRDefault="001B0843" w:rsidP="00F42988">
            <w:pPr>
              <w:pStyle w:val="aa"/>
              <w:ind w:left="880"/>
              <w:rPr>
                <w:rFonts w:ascii="Arial" w:hAnsi="Arial" w:cs="Arial"/>
                <w:b/>
                <w:color w:val="auto"/>
                <w:sz w:val="20"/>
                <w:szCs w:val="20"/>
              </w:rPr>
            </w:pPr>
            <w:r w:rsidRPr="00614A46">
              <w:rPr>
                <w:rFonts w:ascii="Arial" w:eastAsia="휴먼명조" w:hAnsi="Arial" w:cs="Arial"/>
                <w:b/>
                <w:color w:val="auto"/>
                <w:sz w:val="20"/>
                <w:szCs w:val="20"/>
              </w:rPr>
              <w:t xml:space="preserve">7. Quantified emission level resulting from the policies and measures in the NDC relevant to the cooperative approaches, and the time periods covered by the NDC </w:t>
            </w:r>
            <w:r w:rsidRPr="00614A46">
              <w:rPr>
                <w:rFonts w:ascii="Times New Roman" w:eastAsia="휴먼명조" w:hAnsi="Times New Roman" w:cs="Times New Roman"/>
                <w:b/>
                <w:i/>
                <w:color w:val="auto"/>
                <w:sz w:val="20"/>
                <w:szCs w:val="20"/>
                <w:highlight w:val="cyan"/>
              </w:rPr>
              <w:t>(para.18.(f))</w:t>
            </w:r>
          </w:p>
          <w:p w14:paraId="206237BC" w14:textId="77777777" w:rsidR="001B0843" w:rsidRPr="00AB7159" w:rsidRDefault="001B0843" w:rsidP="00F42988">
            <w:pPr>
              <w:pStyle w:val="aa"/>
              <w:ind w:left="880"/>
              <w:rPr>
                <w:rFonts w:ascii="Arial" w:hAnsi="Arial" w:cs="Arial"/>
                <w:color w:val="auto"/>
                <w:sz w:val="20"/>
                <w:szCs w:val="20"/>
              </w:rPr>
            </w:pPr>
          </w:p>
          <w:p w14:paraId="7300DB85" w14:textId="77777777" w:rsidR="001B0843" w:rsidRPr="00614A46" w:rsidRDefault="001B0843" w:rsidP="00F42988">
            <w:pPr>
              <w:pStyle w:val="aa"/>
              <w:ind w:left="880"/>
              <w:rPr>
                <w:rFonts w:ascii="Times New Roman" w:eastAsia="휴먼명조" w:hAnsi="Times New Roman" w:cs="Times New Roman"/>
                <w:b/>
                <w:i/>
                <w:color w:val="auto"/>
                <w:sz w:val="20"/>
                <w:szCs w:val="20"/>
                <w:highlight w:val="cyan"/>
              </w:rPr>
            </w:pPr>
            <w:r w:rsidRPr="00614A46">
              <w:rPr>
                <w:rFonts w:ascii="Arial" w:hAnsi="Arial" w:cs="Arial"/>
                <w:b/>
                <w:color w:val="auto"/>
                <w:sz w:val="20"/>
                <w:szCs w:val="20"/>
              </w:rPr>
              <w:t>8</w:t>
            </w:r>
            <w:r w:rsidRPr="00614A46">
              <w:rPr>
                <w:rFonts w:ascii="Arial" w:eastAsia="휴먼명조" w:hAnsi="Arial" w:cs="Arial"/>
                <w:b/>
                <w:color w:val="auto"/>
                <w:sz w:val="20"/>
                <w:szCs w:val="20"/>
              </w:rPr>
              <w:t xml:space="preserve">. Information on each cooperative approach: </w:t>
            </w:r>
            <w:r w:rsidRPr="00614A46">
              <w:rPr>
                <w:rFonts w:ascii="Times New Roman" w:eastAsia="휴먼명조" w:hAnsi="Times New Roman" w:cs="Times New Roman"/>
                <w:b/>
                <w:i/>
                <w:color w:val="auto"/>
                <w:sz w:val="20"/>
                <w:szCs w:val="20"/>
                <w:highlight w:val="cyan"/>
              </w:rPr>
              <w:t>(para.18.(g))</w:t>
            </w:r>
          </w:p>
          <w:p w14:paraId="7A49537E" w14:textId="77777777" w:rsidR="001B0843" w:rsidRPr="00413E12" w:rsidRDefault="001B0843" w:rsidP="00F42988">
            <w:pPr>
              <w:pStyle w:val="aa"/>
              <w:ind w:left="880"/>
              <w:rPr>
                <w:rFonts w:ascii="Arial" w:eastAsia="휴먼명조" w:hAnsi="Arial" w:cs="Arial"/>
                <w:color w:val="auto"/>
                <w:sz w:val="20"/>
                <w:szCs w:val="20"/>
              </w:rPr>
            </w:pPr>
          </w:p>
          <w:p w14:paraId="6A151509" w14:textId="77777777" w:rsidR="001B0843" w:rsidRPr="00614A46" w:rsidRDefault="001B0843" w:rsidP="00F42988">
            <w:pPr>
              <w:pStyle w:val="aa"/>
              <w:ind w:left="880"/>
              <w:rPr>
                <w:rFonts w:ascii="Arial" w:hAnsi="Arial" w:cs="Arial"/>
                <w:b/>
                <w:color w:val="auto"/>
                <w:sz w:val="20"/>
                <w:szCs w:val="20"/>
              </w:rPr>
            </w:pPr>
            <w:r w:rsidRPr="00614A46">
              <w:rPr>
                <w:rFonts w:ascii="Arial" w:eastAsia="휴먼명조" w:hAnsi="Arial" w:cs="Arial"/>
                <w:b/>
                <w:color w:val="auto"/>
                <w:sz w:val="20"/>
                <w:szCs w:val="20"/>
              </w:rPr>
              <w:t xml:space="preserve">9. Environmental integrity of each cooperative approach, including detailed information on: </w:t>
            </w:r>
            <w:r w:rsidRPr="00517B5B">
              <w:rPr>
                <w:rFonts w:ascii="Times New Roman" w:eastAsia="휴먼명조" w:hAnsi="Times New Roman" w:cs="Times New Roman"/>
                <w:b/>
                <w:i/>
                <w:color w:val="auto"/>
                <w:sz w:val="20"/>
                <w:szCs w:val="20"/>
                <w:highlight w:val="cyan"/>
              </w:rPr>
              <w:t>(para.18.(h))</w:t>
            </w:r>
          </w:p>
          <w:p w14:paraId="45D4FBAC" w14:textId="77777777" w:rsidR="001B0843" w:rsidRDefault="001B0843" w:rsidP="00F42988">
            <w:pPr>
              <w:pStyle w:val="aa"/>
              <w:ind w:left="880" w:firstLineChars="100" w:firstLine="2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9.1. Avoidance of net increase in global emissions </w:t>
            </w:r>
            <w:r w:rsidRPr="006300AE">
              <w:rPr>
                <w:rFonts w:ascii="Times New Roman" w:eastAsia="휴먼명조" w:hAnsi="Times New Roman" w:cs="Times New Roman"/>
                <w:i/>
                <w:color w:val="auto"/>
                <w:sz w:val="20"/>
                <w:szCs w:val="20"/>
                <w:highlight w:val="cyan"/>
              </w:rPr>
              <w:t>(para.18.(h).(</w:t>
            </w:r>
            <w:proofErr w:type="spellStart"/>
            <w:r w:rsidRPr="006300AE">
              <w:rPr>
                <w:rFonts w:ascii="Times New Roman" w:eastAsia="휴먼명조" w:hAnsi="Times New Roman" w:cs="Times New Roman"/>
                <w:i/>
                <w:color w:val="auto"/>
                <w:sz w:val="20"/>
                <w:szCs w:val="20"/>
                <w:highlight w:val="cyan"/>
              </w:rPr>
              <w:t>i</w:t>
            </w:r>
            <w:proofErr w:type="spellEnd"/>
            <w:r w:rsidRPr="006300AE">
              <w:rPr>
                <w:rFonts w:ascii="Times New Roman" w:eastAsia="휴먼명조" w:hAnsi="Times New Roman" w:cs="Times New Roman"/>
                <w:i/>
                <w:color w:val="auto"/>
                <w:sz w:val="20"/>
                <w:szCs w:val="20"/>
                <w:highlight w:val="cyan"/>
              </w:rPr>
              <w:t>))</w:t>
            </w:r>
          </w:p>
          <w:p w14:paraId="6984AB35" w14:textId="77777777" w:rsidR="001B0843" w:rsidRPr="00AB7159" w:rsidRDefault="001B0843" w:rsidP="00F42988">
            <w:pPr>
              <w:pStyle w:val="aa"/>
              <w:ind w:left="880" w:firstLineChars="100" w:firstLine="200"/>
              <w:rPr>
                <w:rFonts w:ascii="Arial" w:hAnsi="Arial" w:cs="Arial"/>
                <w:color w:val="auto"/>
                <w:sz w:val="20"/>
                <w:szCs w:val="20"/>
              </w:rPr>
            </w:pPr>
            <w:r w:rsidRPr="00AB7159">
              <w:rPr>
                <w:rFonts w:ascii="Arial" w:eastAsia="휴먼명조" w:hAnsi="Arial" w:cs="Arial"/>
                <w:color w:val="auto"/>
                <w:sz w:val="20"/>
                <w:szCs w:val="20"/>
              </w:rPr>
              <w:t xml:space="preserve">9.2. Robustness, transparent governance and the quality of mitigation outcomes, in terms of: </w:t>
            </w:r>
            <w:r w:rsidRPr="006300AE">
              <w:rPr>
                <w:rFonts w:ascii="Times New Roman" w:eastAsia="휴먼명조" w:hAnsi="Times New Roman" w:cs="Times New Roman"/>
                <w:i/>
                <w:color w:val="auto"/>
                <w:sz w:val="20"/>
                <w:szCs w:val="20"/>
                <w:highlight w:val="cyan"/>
              </w:rPr>
              <w:t>(para.18.(h).(ii))</w:t>
            </w:r>
          </w:p>
          <w:p w14:paraId="21A8F064" w14:textId="77777777" w:rsidR="001B0843" w:rsidRDefault="001B0843" w:rsidP="00F42988">
            <w:pPr>
              <w:pStyle w:val="aa"/>
              <w:ind w:left="880" w:firstLineChars="200" w:firstLine="400"/>
              <w:rPr>
                <w:rFonts w:ascii="Arial" w:eastAsia="휴먼명조" w:hAnsi="Arial" w:cs="Arial"/>
                <w:color w:val="auto"/>
                <w:sz w:val="20"/>
                <w:szCs w:val="20"/>
              </w:rPr>
            </w:pPr>
            <w:r w:rsidRPr="00AB7159">
              <w:rPr>
                <w:rFonts w:ascii="Arial" w:eastAsia="휴먼명조" w:hAnsi="Arial" w:cs="Arial"/>
                <w:color w:val="auto"/>
                <w:sz w:val="20"/>
                <w:szCs w:val="20"/>
              </w:rPr>
              <w:t xml:space="preserve"> 9.2.1. Conservative reference levels</w:t>
            </w:r>
          </w:p>
          <w:p w14:paraId="1C2EDF1B" w14:textId="77777777" w:rsidR="001B0843" w:rsidRDefault="001B0843" w:rsidP="00F42988">
            <w:pPr>
              <w:pStyle w:val="aa"/>
              <w:ind w:left="880" w:firstLineChars="200" w:firstLine="400"/>
              <w:rPr>
                <w:rFonts w:ascii="Arial" w:eastAsia="휴먼명조" w:hAnsi="Arial" w:cs="Arial"/>
                <w:color w:val="auto"/>
                <w:sz w:val="20"/>
                <w:szCs w:val="20"/>
              </w:rPr>
            </w:pPr>
            <w:r w:rsidRPr="00AB7159">
              <w:rPr>
                <w:rFonts w:ascii="Arial" w:eastAsia="휴먼명조" w:hAnsi="Arial" w:cs="Arial"/>
                <w:color w:val="auto"/>
                <w:sz w:val="20"/>
                <w:szCs w:val="20"/>
              </w:rPr>
              <w:t>9.2.2. Baselines set in a conservative way and below BAU emissions projects</w:t>
            </w:r>
          </w:p>
          <w:p w14:paraId="54CC7190" w14:textId="77777777" w:rsidR="001B0843" w:rsidRDefault="001B0843" w:rsidP="00F42988">
            <w:pPr>
              <w:pStyle w:val="aa"/>
              <w:ind w:left="880" w:firstLineChars="200" w:firstLine="400"/>
              <w:rPr>
                <w:rFonts w:ascii="Arial" w:eastAsia="휴먼명조" w:hAnsi="Arial" w:cs="Arial"/>
                <w:i/>
                <w:color w:val="auto"/>
                <w:sz w:val="20"/>
                <w:szCs w:val="20"/>
              </w:rPr>
            </w:pPr>
            <w:r w:rsidRPr="00AB7159">
              <w:rPr>
                <w:rFonts w:ascii="Arial" w:eastAsia="휴먼명조" w:hAnsi="Arial" w:cs="Arial"/>
                <w:color w:val="auto"/>
                <w:sz w:val="20"/>
                <w:szCs w:val="20"/>
              </w:rPr>
              <w:t xml:space="preserve">9.2.3. Minimization of the risks of non-permanence </w:t>
            </w:r>
            <w:r w:rsidRPr="006300AE">
              <w:rPr>
                <w:rFonts w:ascii="Times New Roman" w:eastAsia="휴먼명조" w:hAnsi="Times New Roman" w:cs="Times New Roman"/>
                <w:i/>
                <w:color w:val="auto"/>
                <w:sz w:val="20"/>
                <w:szCs w:val="20"/>
                <w:highlight w:val="cyan"/>
              </w:rPr>
              <w:t>(para.18.(h).(iii))</w:t>
            </w:r>
          </w:p>
          <w:p w14:paraId="25BDFA55" w14:textId="77777777" w:rsidR="001B0843" w:rsidRPr="00AB7159" w:rsidRDefault="001B0843" w:rsidP="00F42988">
            <w:pPr>
              <w:pStyle w:val="aa"/>
              <w:ind w:left="880"/>
              <w:rPr>
                <w:rFonts w:ascii="Arial" w:hAnsi="Arial" w:cs="Arial"/>
                <w:color w:val="auto"/>
                <w:sz w:val="20"/>
                <w:szCs w:val="20"/>
              </w:rPr>
            </w:pPr>
          </w:p>
          <w:p w14:paraId="04394B33" w14:textId="77777777" w:rsidR="001B0843" w:rsidRPr="00517B5B" w:rsidRDefault="001B0843" w:rsidP="00F42988">
            <w:pPr>
              <w:pStyle w:val="aa"/>
              <w:ind w:left="880"/>
              <w:rPr>
                <w:rFonts w:ascii="Times New Roman" w:eastAsia="휴먼명조" w:hAnsi="Times New Roman" w:cs="Times New Roman"/>
                <w:b/>
                <w:i/>
                <w:color w:val="auto"/>
                <w:sz w:val="20"/>
                <w:szCs w:val="20"/>
                <w:highlight w:val="cyan"/>
              </w:rPr>
            </w:pPr>
            <w:r w:rsidRPr="00517B5B">
              <w:rPr>
                <w:rFonts w:ascii="Arial" w:hAnsi="Arial" w:cs="Arial"/>
                <w:b/>
                <w:color w:val="auto"/>
                <w:sz w:val="20"/>
                <w:szCs w:val="20"/>
              </w:rPr>
              <w:t xml:space="preserve">10. </w:t>
            </w:r>
            <w:r w:rsidRPr="00517B5B">
              <w:rPr>
                <w:rFonts w:ascii="Arial" w:eastAsia="휴먼명조" w:hAnsi="Arial" w:cs="Arial"/>
                <w:b/>
                <w:color w:val="auto"/>
                <w:sz w:val="20"/>
                <w:szCs w:val="20"/>
              </w:rPr>
              <w:t xml:space="preserve"> Further information on each cooperative approach, in terms of: </w:t>
            </w:r>
            <w:r w:rsidRPr="00517B5B">
              <w:rPr>
                <w:rFonts w:ascii="Times New Roman" w:eastAsia="휴먼명조" w:hAnsi="Times New Roman" w:cs="Times New Roman"/>
                <w:b/>
                <w:i/>
                <w:color w:val="auto"/>
                <w:sz w:val="20"/>
                <w:szCs w:val="20"/>
                <w:highlight w:val="cyan"/>
              </w:rPr>
              <w:t xml:space="preserve">(para.18.( </w:t>
            </w:r>
            <w:proofErr w:type="spellStart"/>
            <w:r w:rsidRPr="00517B5B">
              <w:rPr>
                <w:rFonts w:ascii="Times New Roman" w:eastAsia="휴먼명조" w:hAnsi="Times New Roman" w:cs="Times New Roman"/>
                <w:b/>
                <w:i/>
                <w:color w:val="auto"/>
                <w:sz w:val="20"/>
                <w:szCs w:val="20"/>
                <w:highlight w:val="cyan"/>
              </w:rPr>
              <w:t>i</w:t>
            </w:r>
            <w:proofErr w:type="spellEnd"/>
            <w:r w:rsidRPr="00517B5B">
              <w:rPr>
                <w:rFonts w:ascii="Times New Roman" w:eastAsia="휴먼명조" w:hAnsi="Times New Roman" w:cs="Times New Roman"/>
                <w:b/>
                <w:i/>
                <w:color w:val="auto"/>
                <w:sz w:val="20"/>
                <w:szCs w:val="20"/>
                <w:highlight w:val="cyan"/>
              </w:rPr>
              <w:t>))</w:t>
            </w:r>
          </w:p>
          <w:p w14:paraId="25069F79" w14:textId="77777777" w:rsidR="001B0843" w:rsidRDefault="001B0843" w:rsidP="00F42988">
            <w:pPr>
              <w:pStyle w:val="aa"/>
              <w:ind w:left="880" w:firstLineChars="100" w:firstLine="200"/>
              <w:rPr>
                <w:rFonts w:ascii="Times New Roman" w:eastAsia="휴먼명조" w:hAnsi="Times New Roman" w:cs="Times New Roman"/>
                <w:i/>
                <w:color w:val="auto"/>
                <w:sz w:val="20"/>
                <w:szCs w:val="20"/>
              </w:rPr>
            </w:pPr>
            <w:r w:rsidRPr="00AB7159">
              <w:rPr>
                <w:rFonts w:ascii="Arial" w:hAnsi="Arial" w:cs="Arial"/>
                <w:color w:val="auto"/>
                <w:sz w:val="20"/>
                <w:szCs w:val="20"/>
              </w:rPr>
              <w:lastRenderedPageBreak/>
              <w:t xml:space="preserve">10.1. </w:t>
            </w:r>
            <w:r w:rsidRPr="00AB7159">
              <w:rPr>
                <w:rFonts w:ascii="Arial" w:eastAsia="휴먼명조" w:hAnsi="Arial" w:cs="Arial"/>
                <w:color w:val="auto"/>
                <w:sz w:val="20"/>
                <w:szCs w:val="20"/>
              </w:rPr>
              <w:t xml:space="preserve">Minimization of negative environmental, economic and social impacts </w:t>
            </w:r>
            <w:r w:rsidRPr="006300AE">
              <w:rPr>
                <w:rFonts w:ascii="Times New Roman" w:eastAsia="휴먼명조" w:hAnsi="Times New Roman" w:cs="Times New Roman"/>
                <w:i/>
                <w:color w:val="auto"/>
                <w:sz w:val="20"/>
                <w:szCs w:val="20"/>
                <w:highlight w:val="cyan"/>
              </w:rPr>
              <w:t xml:space="preserve">(para.18.( </w:t>
            </w:r>
            <w:proofErr w:type="spellStart"/>
            <w:r w:rsidRPr="006300AE">
              <w:rPr>
                <w:rFonts w:ascii="Times New Roman" w:eastAsia="휴먼명조" w:hAnsi="Times New Roman" w:cs="Times New Roman"/>
                <w:i/>
                <w:color w:val="auto"/>
                <w:sz w:val="20"/>
                <w:szCs w:val="20"/>
                <w:highlight w:val="cyan"/>
              </w:rPr>
              <w:t>i</w:t>
            </w:r>
            <w:proofErr w:type="spellEnd"/>
            <w:r w:rsidRPr="006300AE">
              <w:rPr>
                <w:rFonts w:ascii="Times New Roman" w:eastAsia="휴먼명조" w:hAnsi="Times New Roman" w:cs="Times New Roman"/>
                <w:i/>
                <w:color w:val="auto"/>
                <w:sz w:val="20"/>
                <w:szCs w:val="20"/>
                <w:highlight w:val="cyan"/>
              </w:rPr>
              <w:t>).(</w:t>
            </w:r>
            <w:proofErr w:type="spellStart"/>
            <w:r w:rsidRPr="006300AE">
              <w:rPr>
                <w:rFonts w:ascii="Times New Roman" w:eastAsia="휴먼명조" w:hAnsi="Times New Roman" w:cs="Times New Roman"/>
                <w:i/>
                <w:color w:val="auto"/>
                <w:sz w:val="20"/>
                <w:szCs w:val="20"/>
                <w:highlight w:val="cyan"/>
              </w:rPr>
              <w:t>i</w:t>
            </w:r>
            <w:proofErr w:type="spellEnd"/>
            <w:r w:rsidRPr="006300AE">
              <w:rPr>
                <w:rFonts w:ascii="Times New Roman" w:eastAsia="휴먼명조" w:hAnsi="Times New Roman" w:cs="Times New Roman"/>
                <w:i/>
                <w:color w:val="auto"/>
                <w:sz w:val="20"/>
                <w:szCs w:val="20"/>
                <w:highlight w:val="cyan"/>
              </w:rPr>
              <w:t>))</w:t>
            </w:r>
          </w:p>
          <w:p w14:paraId="2BC95D89" w14:textId="77777777" w:rsidR="001B0843" w:rsidRDefault="001B0843" w:rsidP="00F42988">
            <w:pPr>
              <w:pStyle w:val="aa"/>
              <w:ind w:left="880"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10.2. Reflection of the 11th </w:t>
            </w:r>
            <w:proofErr w:type="spellStart"/>
            <w:r w:rsidRPr="00AB7159">
              <w:rPr>
                <w:rFonts w:ascii="Arial" w:eastAsia="휴먼명조" w:hAnsi="Arial" w:cs="Arial"/>
                <w:color w:val="auto"/>
                <w:sz w:val="20"/>
                <w:szCs w:val="20"/>
              </w:rPr>
              <w:t>preambular</w:t>
            </w:r>
            <w:proofErr w:type="spellEnd"/>
            <w:r w:rsidRPr="00AB7159">
              <w:rPr>
                <w:rFonts w:ascii="Arial" w:eastAsia="휴먼명조" w:hAnsi="Arial" w:cs="Arial"/>
                <w:color w:val="auto"/>
                <w:sz w:val="20"/>
                <w:szCs w:val="20"/>
              </w:rPr>
              <w:t xml:space="preserve"> paragraph of the PA </w:t>
            </w:r>
            <w:r w:rsidRPr="006300AE">
              <w:rPr>
                <w:rFonts w:ascii="Times New Roman" w:eastAsia="휴먼명조" w:hAnsi="Times New Roman" w:cs="Times New Roman"/>
                <w:i/>
                <w:color w:val="auto"/>
                <w:sz w:val="20"/>
                <w:szCs w:val="20"/>
                <w:highlight w:val="cyan"/>
              </w:rPr>
              <w:t xml:space="preserve">(para.18.( </w:t>
            </w:r>
            <w:proofErr w:type="spellStart"/>
            <w:r w:rsidRPr="006300AE">
              <w:rPr>
                <w:rFonts w:ascii="Times New Roman" w:eastAsia="휴먼명조" w:hAnsi="Times New Roman" w:cs="Times New Roman"/>
                <w:i/>
                <w:color w:val="auto"/>
                <w:sz w:val="20"/>
                <w:szCs w:val="20"/>
                <w:highlight w:val="cyan"/>
              </w:rPr>
              <w:t>i</w:t>
            </w:r>
            <w:proofErr w:type="spellEnd"/>
            <w:r w:rsidRPr="006300AE">
              <w:rPr>
                <w:rFonts w:ascii="Times New Roman" w:eastAsia="휴먼명조" w:hAnsi="Times New Roman" w:cs="Times New Roman"/>
                <w:i/>
                <w:color w:val="auto"/>
                <w:sz w:val="20"/>
                <w:szCs w:val="20"/>
                <w:highlight w:val="cyan"/>
              </w:rPr>
              <w:t>).(ii))</w:t>
            </w:r>
          </w:p>
          <w:p w14:paraId="37D668CC" w14:textId="77777777" w:rsidR="001B0843" w:rsidRDefault="001B0843" w:rsidP="00F42988">
            <w:pPr>
              <w:pStyle w:val="aa"/>
              <w:ind w:left="880" w:firstLineChars="100" w:firstLine="2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10.3. Consistency with the sustainable development objectives </w:t>
            </w:r>
            <w:r w:rsidRPr="006300AE">
              <w:rPr>
                <w:rFonts w:ascii="Times New Roman" w:eastAsia="휴먼명조" w:hAnsi="Times New Roman" w:cs="Times New Roman"/>
                <w:i/>
                <w:color w:val="auto"/>
                <w:sz w:val="20"/>
                <w:szCs w:val="20"/>
                <w:highlight w:val="cyan"/>
              </w:rPr>
              <w:t xml:space="preserve">(para.18.( </w:t>
            </w:r>
            <w:proofErr w:type="spellStart"/>
            <w:r w:rsidRPr="006300AE">
              <w:rPr>
                <w:rFonts w:ascii="Times New Roman" w:eastAsia="휴먼명조" w:hAnsi="Times New Roman" w:cs="Times New Roman"/>
                <w:i/>
                <w:color w:val="auto"/>
                <w:sz w:val="20"/>
                <w:szCs w:val="20"/>
                <w:highlight w:val="cyan"/>
              </w:rPr>
              <w:t>i</w:t>
            </w:r>
            <w:proofErr w:type="spellEnd"/>
            <w:r w:rsidRPr="006300AE">
              <w:rPr>
                <w:rFonts w:ascii="Times New Roman" w:eastAsia="휴먼명조" w:hAnsi="Times New Roman" w:cs="Times New Roman"/>
                <w:i/>
                <w:color w:val="auto"/>
                <w:sz w:val="20"/>
                <w:szCs w:val="20"/>
                <w:highlight w:val="cyan"/>
              </w:rPr>
              <w:t>).(iii))</w:t>
            </w:r>
          </w:p>
          <w:p w14:paraId="76CEE9E2" w14:textId="77777777" w:rsidR="001B0843" w:rsidRDefault="001B0843" w:rsidP="00F42988">
            <w:pPr>
              <w:pStyle w:val="aa"/>
              <w:ind w:left="880" w:firstLineChars="100" w:firstLine="2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10.4. Application of safeguards and limits set out in further guidance from the CMA </w:t>
            </w:r>
            <w:r w:rsidRPr="006300AE">
              <w:rPr>
                <w:rFonts w:ascii="Times New Roman" w:eastAsia="휴먼명조" w:hAnsi="Times New Roman" w:cs="Times New Roman"/>
                <w:i/>
                <w:color w:val="auto"/>
                <w:sz w:val="20"/>
                <w:szCs w:val="20"/>
                <w:highlight w:val="cyan"/>
              </w:rPr>
              <w:t xml:space="preserve">(para.18.( </w:t>
            </w:r>
            <w:proofErr w:type="spellStart"/>
            <w:r w:rsidRPr="006300AE">
              <w:rPr>
                <w:rFonts w:ascii="Times New Roman" w:eastAsia="휴먼명조" w:hAnsi="Times New Roman" w:cs="Times New Roman"/>
                <w:i/>
                <w:color w:val="auto"/>
                <w:sz w:val="20"/>
                <w:szCs w:val="20"/>
                <w:highlight w:val="cyan"/>
              </w:rPr>
              <w:t>i</w:t>
            </w:r>
            <w:proofErr w:type="spellEnd"/>
            <w:r w:rsidRPr="006300AE">
              <w:rPr>
                <w:rFonts w:ascii="Times New Roman" w:eastAsia="휴먼명조" w:hAnsi="Times New Roman" w:cs="Times New Roman"/>
                <w:i/>
                <w:color w:val="auto"/>
                <w:sz w:val="20"/>
                <w:szCs w:val="20"/>
                <w:highlight w:val="cyan"/>
              </w:rPr>
              <w:t>).(iv))</w:t>
            </w:r>
          </w:p>
          <w:p w14:paraId="19A8BAFA" w14:textId="77777777" w:rsidR="001B0843" w:rsidRDefault="001B0843" w:rsidP="00F42988">
            <w:pPr>
              <w:pStyle w:val="aa"/>
              <w:ind w:left="880" w:firstLineChars="100" w:firstLine="2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10.5. Contribution of resources for adaptation pursuant to chapter VII of the guidance on cooperative approaches </w:t>
            </w:r>
            <w:r w:rsidRPr="006300AE">
              <w:rPr>
                <w:rFonts w:ascii="Times New Roman" w:eastAsia="휴먼명조" w:hAnsi="Times New Roman" w:cs="Times New Roman"/>
                <w:i/>
                <w:color w:val="auto"/>
                <w:sz w:val="20"/>
                <w:szCs w:val="20"/>
                <w:highlight w:val="cyan"/>
              </w:rPr>
              <w:t xml:space="preserve">(para.18.( </w:t>
            </w:r>
            <w:proofErr w:type="spellStart"/>
            <w:r w:rsidRPr="006300AE">
              <w:rPr>
                <w:rFonts w:ascii="Times New Roman" w:eastAsia="휴먼명조" w:hAnsi="Times New Roman" w:cs="Times New Roman"/>
                <w:i/>
                <w:color w:val="auto"/>
                <w:sz w:val="20"/>
                <w:szCs w:val="20"/>
                <w:highlight w:val="cyan"/>
              </w:rPr>
              <w:t>i</w:t>
            </w:r>
            <w:proofErr w:type="spellEnd"/>
            <w:r w:rsidRPr="006300AE">
              <w:rPr>
                <w:rFonts w:ascii="Times New Roman" w:eastAsia="휴먼명조" w:hAnsi="Times New Roman" w:cs="Times New Roman"/>
                <w:i/>
                <w:color w:val="auto"/>
                <w:sz w:val="20"/>
                <w:szCs w:val="20"/>
                <w:highlight w:val="cyan"/>
              </w:rPr>
              <w:t>).(v))</w:t>
            </w:r>
          </w:p>
          <w:p w14:paraId="052EABAC" w14:textId="77777777" w:rsidR="001B0843" w:rsidRDefault="001B0843" w:rsidP="00F42988">
            <w:pPr>
              <w:pStyle w:val="aa"/>
              <w:ind w:left="880" w:firstLineChars="100" w:firstLine="200"/>
              <w:rPr>
                <w:rFonts w:ascii="Arial" w:eastAsia="휴먼명조" w:hAnsi="Arial" w:cs="Arial"/>
                <w:i/>
                <w:color w:val="auto"/>
                <w:sz w:val="20"/>
                <w:szCs w:val="20"/>
              </w:rPr>
            </w:pPr>
            <w:r w:rsidRPr="00AB7159">
              <w:rPr>
                <w:rFonts w:ascii="Arial" w:eastAsia="휴먼명조" w:hAnsi="Arial" w:cs="Arial"/>
                <w:color w:val="auto"/>
                <w:sz w:val="20"/>
                <w:szCs w:val="20"/>
              </w:rPr>
              <w:t xml:space="preserve">10.6. Overall mitigation in global emissions pursuant to chapter VII of the 6.2 guidance </w:t>
            </w:r>
            <w:r w:rsidRPr="006300AE">
              <w:rPr>
                <w:rFonts w:ascii="Times New Roman" w:eastAsia="휴먼명조" w:hAnsi="Times New Roman" w:cs="Times New Roman"/>
                <w:i/>
                <w:color w:val="auto"/>
                <w:sz w:val="20"/>
                <w:szCs w:val="20"/>
                <w:highlight w:val="cyan"/>
              </w:rPr>
              <w:t xml:space="preserve">(para.18.( </w:t>
            </w:r>
            <w:proofErr w:type="spellStart"/>
            <w:r w:rsidRPr="006300AE">
              <w:rPr>
                <w:rFonts w:ascii="Times New Roman" w:eastAsia="휴먼명조" w:hAnsi="Times New Roman" w:cs="Times New Roman"/>
                <w:i/>
                <w:color w:val="auto"/>
                <w:sz w:val="20"/>
                <w:szCs w:val="20"/>
                <w:highlight w:val="cyan"/>
              </w:rPr>
              <w:t>i</w:t>
            </w:r>
            <w:proofErr w:type="spellEnd"/>
            <w:r w:rsidRPr="006300AE">
              <w:rPr>
                <w:rFonts w:ascii="Times New Roman" w:eastAsia="휴먼명조" w:hAnsi="Times New Roman" w:cs="Times New Roman"/>
                <w:i/>
                <w:color w:val="auto"/>
                <w:sz w:val="20"/>
                <w:szCs w:val="20"/>
                <w:highlight w:val="cyan"/>
              </w:rPr>
              <w:t>).(vi))</w:t>
            </w:r>
          </w:p>
          <w:p w14:paraId="3C7ADFEF" w14:textId="77777777" w:rsidR="001B0843" w:rsidRPr="00AB7159" w:rsidRDefault="001B0843" w:rsidP="00F42988">
            <w:pPr>
              <w:widowControl/>
              <w:wordWrap/>
              <w:autoSpaceDE/>
              <w:autoSpaceDN/>
              <w:ind w:left="880"/>
              <w:rPr>
                <w:rFonts w:ascii="Arial" w:hAnsi="Arial" w:cs="Arial"/>
                <w:b/>
                <w:bCs/>
                <w:sz w:val="20"/>
                <w:szCs w:val="20"/>
                <w:lang w:val="en-GB"/>
              </w:rPr>
            </w:pPr>
          </w:p>
        </w:tc>
      </w:tr>
    </w:tbl>
    <w:p w14:paraId="08C7A36D" w14:textId="77777777" w:rsidR="00C5215A" w:rsidRDefault="00C5215A" w:rsidP="00B55ABF">
      <w:pPr>
        <w:widowControl/>
        <w:wordWrap/>
        <w:autoSpaceDE/>
        <w:autoSpaceDN/>
        <w:rPr>
          <w:rFonts w:ascii="Arial" w:hAnsi="Arial" w:cs="Arial"/>
          <w:b/>
          <w:bCs/>
          <w:sz w:val="20"/>
          <w:szCs w:val="20"/>
          <w:lang w:val="en-GB"/>
        </w:rPr>
      </w:pPr>
    </w:p>
    <w:p w14:paraId="1DFC10AB" w14:textId="7087EA9C" w:rsidR="000A0E75" w:rsidRPr="003D3F4F" w:rsidRDefault="000A0E75" w:rsidP="000A0E75">
      <w:pPr>
        <w:rPr>
          <w:rFonts w:ascii="Arial" w:hAnsi="Arial" w:cs="Arial"/>
          <w:lang w:val="en-GB"/>
        </w:rPr>
      </w:pPr>
      <w:r w:rsidRPr="003D3F4F">
        <w:rPr>
          <w:rFonts w:ascii="Arial" w:hAnsi="Arial" w:cs="Arial"/>
          <w:lang w:val="en-GB"/>
        </w:rPr>
        <w:t>In the meanwhile, we do see additional value for Parties if further guidance could provide recommended tables for some information elements such as summary table for each cooperative approach based on paragraph 18</w:t>
      </w:r>
      <w:proofErr w:type="gramStart"/>
      <w:r w:rsidRPr="003D3F4F">
        <w:rPr>
          <w:rFonts w:ascii="Arial" w:hAnsi="Arial" w:cs="Arial"/>
          <w:lang w:val="en-GB"/>
        </w:rPr>
        <w:t>.(</w:t>
      </w:r>
      <w:proofErr w:type="gramEnd"/>
      <w:r w:rsidRPr="003D3F4F">
        <w:rPr>
          <w:rFonts w:ascii="Arial" w:hAnsi="Arial" w:cs="Arial"/>
          <w:lang w:val="en-GB"/>
        </w:rPr>
        <w:t xml:space="preserve">g) </w:t>
      </w:r>
      <w:r w:rsidRPr="003D3F4F">
        <w:rPr>
          <w:rFonts w:ascii="Arial" w:hAnsi="Arial" w:cs="Arial" w:hint="eastAsia"/>
          <w:lang w:val="en-GB"/>
        </w:rPr>
        <w:t xml:space="preserve">of </w:t>
      </w:r>
      <w:r w:rsidRPr="003D3F4F">
        <w:rPr>
          <w:rFonts w:ascii="Arial" w:hAnsi="Arial" w:cs="Arial"/>
          <w:lang w:val="en-GB"/>
        </w:rPr>
        <w:t xml:space="preserve">the A6.2 guidance as table 2 below. This sample table could be used for the centralized accounting and reporting platform as per paragraph 19 of the guidance. </w:t>
      </w:r>
    </w:p>
    <w:p w14:paraId="6DD53AAD" w14:textId="77777777" w:rsidR="00C5215A" w:rsidRPr="000A0E75" w:rsidRDefault="00C5215A" w:rsidP="00B55ABF">
      <w:pPr>
        <w:widowControl/>
        <w:wordWrap/>
        <w:autoSpaceDE/>
        <w:autoSpaceDN/>
        <w:rPr>
          <w:rFonts w:ascii="Arial" w:hAnsi="Arial" w:cs="Arial"/>
          <w:b/>
          <w:bCs/>
          <w:sz w:val="20"/>
          <w:szCs w:val="20"/>
          <w:lang w:val="en-GB"/>
        </w:rPr>
      </w:pPr>
    </w:p>
    <w:p w14:paraId="4B4874F9" w14:textId="48805F8A" w:rsidR="00C417B6" w:rsidRPr="00C417B6" w:rsidRDefault="00C417B6" w:rsidP="00C417B6">
      <w:pPr>
        <w:pStyle w:val="af1"/>
        <w:keepNext/>
      </w:pPr>
      <w:r>
        <w:t xml:space="preserve">Table </w:t>
      </w:r>
      <w:r w:rsidR="00D52B5E">
        <w:fldChar w:fldCharType="begin"/>
      </w:r>
      <w:r w:rsidR="00D52B5E">
        <w:instrText xml:space="preserve"> SEQ Table \* ARABIC </w:instrText>
      </w:r>
      <w:r w:rsidR="00D52B5E">
        <w:fldChar w:fldCharType="separate"/>
      </w:r>
      <w:r w:rsidR="001C42EC">
        <w:rPr>
          <w:noProof/>
        </w:rPr>
        <w:t>2</w:t>
      </w:r>
      <w:r w:rsidR="00D52B5E">
        <w:rPr>
          <w:noProof/>
        </w:rPr>
        <w:fldChar w:fldCharType="end"/>
      </w:r>
      <w:r>
        <w:t xml:space="preserve">. Sample summary table for each cooperative approach </w:t>
      </w:r>
      <w:r>
        <w:rPr>
          <w:rFonts w:hint="eastAsia"/>
        </w:rPr>
        <w:t>proposed by the ROK</w:t>
      </w:r>
    </w:p>
    <w:tbl>
      <w:tblPr>
        <w:tblStyle w:val="ac"/>
        <w:tblW w:w="0" w:type="auto"/>
        <w:tblLook w:val="04A0" w:firstRow="1" w:lastRow="0" w:firstColumn="1" w:lastColumn="0" w:noHBand="0" w:noVBand="1"/>
      </w:tblPr>
      <w:tblGrid>
        <w:gridCol w:w="1838"/>
        <w:gridCol w:w="1588"/>
        <w:gridCol w:w="748"/>
        <w:gridCol w:w="709"/>
        <w:gridCol w:w="709"/>
        <w:gridCol w:w="709"/>
        <w:gridCol w:w="709"/>
        <w:gridCol w:w="1730"/>
      </w:tblGrid>
      <w:tr w:rsidR="00C417B6" w:rsidRPr="00AB7159" w14:paraId="0876B6F5" w14:textId="77777777" w:rsidTr="00F42988">
        <w:trPr>
          <w:trHeight w:val="317"/>
        </w:trPr>
        <w:tc>
          <w:tcPr>
            <w:tcW w:w="3426" w:type="dxa"/>
            <w:gridSpan w:val="2"/>
            <w:vMerge w:val="restart"/>
            <w:shd w:val="clear" w:color="auto" w:fill="D0CECE" w:themeFill="background2" w:themeFillShade="E6"/>
            <w:vAlign w:val="center"/>
          </w:tcPr>
          <w:p w14:paraId="2C02D555"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Participating Parties</w:t>
            </w:r>
          </w:p>
        </w:tc>
        <w:tc>
          <w:tcPr>
            <w:tcW w:w="2166" w:type="dxa"/>
            <w:gridSpan w:val="3"/>
            <w:shd w:val="clear" w:color="auto" w:fill="F2F2F2" w:themeFill="background1" w:themeFillShade="F2"/>
          </w:tcPr>
          <w:p w14:paraId="03BEFA0B"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Host Party</w:t>
            </w:r>
          </w:p>
        </w:tc>
        <w:tc>
          <w:tcPr>
            <w:tcW w:w="3148" w:type="dxa"/>
            <w:gridSpan w:val="3"/>
            <w:shd w:val="clear" w:color="auto" w:fill="F2F2F2" w:themeFill="background1" w:themeFillShade="F2"/>
          </w:tcPr>
          <w:p w14:paraId="508B3B81" w14:textId="77777777" w:rsidR="00C417B6" w:rsidRPr="00EB3C6A" w:rsidRDefault="00C417B6" w:rsidP="00F42988">
            <w:pPr>
              <w:widowControl/>
              <w:wordWrap/>
              <w:autoSpaceDE/>
              <w:autoSpaceDN/>
              <w:spacing w:after="160"/>
              <w:rPr>
                <w:rFonts w:ascii="Arial" w:hAnsi="Arial" w:cs="Arial"/>
                <w:b/>
                <w:bCs/>
                <w:sz w:val="16"/>
                <w:szCs w:val="20"/>
                <w:lang w:val="en-GB"/>
              </w:rPr>
            </w:pPr>
            <w:r>
              <w:rPr>
                <w:rFonts w:ascii="Arial" w:hAnsi="Arial" w:cs="Arial"/>
                <w:b/>
                <w:bCs/>
                <w:sz w:val="16"/>
                <w:szCs w:val="20"/>
                <w:lang w:val="en-GB"/>
              </w:rPr>
              <w:t>Acquiring and/or using Party</w:t>
            </w:r>
          </w:p>
        </w:tc>
      </w:tr>
      <w:tr w:rsidR="00C417B6" w:rsidRPr="00AB7159" w14:paraId="6CD9FE00" w14:textId="77777777" w:rsidTr="00F42988">
        <w:trPr>
          <w:trHeight w:val="42"/>
        </w:trPr>
        <w:tc>
          <w:tcPr>
            <w:tcW w:w="3426" w:type="dxa"/>
            <w:gridSpan w:val="2"/>
            <w:vMerge/>
            <w:shd w:val="clear" w:color="auto" w:fill="D0CECE" w:themeFill="background2" w:themeFillShade="E6"/>
            <w:vAlign w:val="center"/>
          </w:tcPr>
          <w:p w14:paraId="4D55887B"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2166" w:type="dxa"/>
            <w:gridSpan w:val="3"/>
          </w:tcPr>
          <w:p w14:paraId="6561A85A"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3148" w:type="dxa"/>
            <w:gridSpan w:val="3"/>
          </w:tcPr>
          <w:p w14:paraId="6E848472" w14:textId="77777777" w:rsidR="00C417B6" w:rsidRPr="00EB3C6A" w:rsidRDefault="00C417B6" w:rsidP="00F42988">
            <w:pPr>
              <w:widowControl/>
              <w:wordWrap/>
              <w:autoSpaceDE/>
              <w:autoSpaceDN/>
              <w:spacing w:after="160"/>
              <w:rPr>
                <w:rFonts w:ascii="Arial" w:hAnsi="Arial" w:cs="Arial"/>
                <w:b/>
                <w:bCs/>
                <w:sz w:val="16"/>
                <w:szCs w:val="20"/>
                <w:lang w:val="en-GB"/>
              </w:rPr>
            </w:pPr>
          </w:p>
        </w:tc>
      </w:tr>
      <w:tr w:rsidR="00C417B6" w:rsidRPr="00AB7159" w14:paraId="23FB2C22" w14:textId="77777777" w:rsidTr="00F42988">
        <w:trPr>
          <w:trHeight w:val="591"/>
        </w:trPr>
        <w:tc>
          <w:tcPr>
            <w:tcW w:w="3426" w:type="dxa"/>
            <w:gridSpan w:val="2"/>
            <w:shd w:val="clear" w:color="auto" w:fill="D0CECE" w:themeFill="background2" w:themeFillShade="E6"/>
            <w:vAlign w:val="center"/>
          </w:tcPr>
          <w:p w14:paraId="01F2381F" w14:textId="77777777" w:rsidR="00C417B6" w:rsidRPr="00EB3C6A" w:rsidRDefault="00C417B6" w:rsidP="00F42988">
            <w:pPr>
              <w:widowControl/>
              <w:wordWrap/>
              <w:autoSpaceDE/>
              <w:autoSpaceDN/>
              <w:spacing w:after="160"/>
              <w:rPr>
                <w:rFonts w:ascii="Arial" w:hAnsi="Arial" w:cs="Arial"/>
                <w:b/>
                <w:bCs/>
                <w:sz w:val="16"/>
                <w:szCs w:val="20"/>
                <w:lang w:val="en-GB"/>
              </w:rPr>
            </w:pPr>
            <w:r>
              <w:rPr>
                <w:rFonts w:ascii="Arial" w:hAnsi="Arial" w:cs="Arial"/>
                <w:b/>
                <w:bCs/>
                <w:sz w:val="16"/>
                <w:szCs w:val="20"/>
                <w:lang w:val="en-GB"/>
              </w:rPr>
              <w:t>Name</w:t>
            </w:r>
            <w:r w:rsidRPr="00EB3C6A">
              <w:rPr>
                <w:rFonts w:ascii="Arial" w:hAnsi="Arial" w:cs="Arial"/>
                <w:b/>
                <w:bCs/>
                <w:sz w:val="16"/>
                <w:szCs w:val="20"/>
                <w:lang w:val="en-GB"/>
              </w:rPr>
              <w:t xml:space="preserve"> of the cooperative approach</w:t>
            </w:r>
          </w:p>
        </w:tc>
        <w:tc>
          <w:tcPr>
            <w:tcW w:w="5314" w:type="dxa"/>
            <w:gridSpan w:val="6"/>
          </w:tcPr>
          <w:p w14:paraId="445FA2F3" w14:textId="77777777" w:rsidR="00C417B6" w:rsidRPr="00EB3C6A" w:rsidRDefault="00C417B6" w:rsidP="00F42988">
            <w:pPr>
              <w:widowControl/>
              <w:wordWrap/>
              <w:autoSpaceDE/>
              <w:autoSpaceDN/>
              <w:spacing w:after="160"/>
              <w:rPr>
                <w:rFonts w:ascii="Arial" w:hAnsi="Arial" w:cs="Arial"/>
                <w:b/>
                <w:bCs/>
                <w:sz w:val="16"/>
                <w:szCs w:val="20"/>
                <w:lang w:val="en-GB"/>
              </w:rPr>
            </w:pPr>
          </w:p>
        </w:tc>
      </w:tr>
      <w:tr w:rsidR="00C417B6" w:rsidRPr="00AB7159" w14:paraId="1B85D49D" w14:textId="77777777" w:rsidTr="00F42988">
        <w:trPr>
          <w:trHeight w:val="370"/>
        </w:trPr>
        <w:tc>
          <w:tcPr>
            <w:tcW w:w="3426" w:type="dxa"/>
            <w:gridSpan w:val="2"/>
            <w:shd w:val="clear" w:color="auto" w:fill="D0CECE" w:themeFill="background2" w:themeFillShade="E6"/>
            <w:vAlign w:val="center"/>
          </w:tcPr>
          <w:p w14:paraId="75D8D563"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Information related to authorization</w:t>
            </w:r>
          </w:p>
        </w:tc>
        <w:tc>
          <w:tcPr>
            <w:tcW w:w="5314" w:type="dxa"/>
            <w:gridSpan w:val="6"/>
            <w:shd w:val="clear" w:color="auto" w:fill="auto"/>
          </w:tcPr>
          <w:p w14:paraId="1A7F2A48" w14:textId="77777777" w:rsidR="00C417B6" w:rsidRPr="00EB3C6A" w:rsidRDefault="00C417B6" w:rsidP="00F42988">
            <w:pPr>
              <w:widowControl/>
              <w:wordWrap/>
              <w:autoSpaceDE/>
              <w:autoSpaceDN/>
              <w:spacing w:after="160"/>
              <w:rPr>
                <w:rFonts w:ascii="Arial" w:hAnsi="Arial" w:cs="Arial"/>
                <w:b/>
                <w:bCs/>
                <w:sz w:val="16"/>
                <w:szCs w:val="20"/>
                <w:lang w:val="en-GB"/>
              </w:rPr>
            </w:pPr>
          </w:p>
        </w:tc>
      </w:tr>
      <w:tr w:rsidR="00C417B6" w:rsidRPr="00AB7159" w14:paraId="037E429E" w14:textId="77777777" w:rsidTr="00F42988">
        <w:trPr>
          <w:trHeight w:val="445"/>
        </w:trPr>
        <w:tc>
          <w:tcPr>
            <w:tcW w:w="3426" w:type="dxa"/>
            <w:gridSpan w:val="2"/>
            <w:shd w:val="clear" w:color="auto" w:fill="D0CECE" w:themeFill="background2" w:themeFillShade="E6"/>
            <w:vAlign w:val="center"/>
          </w:tcPr>
          <w:p w14:paraId="783A574F"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Authorized entities</w:t>
            </w:r>
          </w:p>
        </w:tc>
        <w:tc>
          <w:tcPr>
            <w:tcW w:w="5314" w:type="dxa"/>
            <w:gridSpan w:val="6"/>
            <w:shd w:val="clear" w:color="auto" w:fill="auto"/>
          </w:tcPr>
          <w:p w14:paraId="71346E74" w14:textId="77777777" w:rsidR="00C417B6" w:rsidRPr="00EB3C6A" w:rsidRDefault="00C417B6" w:rsidP="00F42988">
            <w:pPr>
              <w:widowControl/>
              <w:wordWrap/>
              <w:autoSpaceDE/>
              <w:autoSpaceDN/>
              <w:spacing w:after="160"/>
              <w:rPr>
                <w:rFonts w:ascii="Arial" w:hAnsi="Arial" w:cs="Arial"/>
                <w:b/>
                <w:bCs/>
                <w:sz w:val="16"/>
                <w:szCs w:val="20"/>
                <w:lang w:val="en-GB"/>
              </w:rPr>
            </w:pPr>
          </w:p>
        </w:tc>
      </w:tr>
      <w:tr w:rsidR="00C417B6" w:rsidRPr="00AB7159" w14:paraId="481E2DBC" w14:textId="77777777" w:rsidTr="00F42988">
        <w:trPr>
          <w:trHeight w:val="42"/>
        </w:trPr>
        <w:tc>
          <w:tcPr>
            <w:tcW w:w="1838" w:type="dxa"/>
            <w:vMerge w:val="restart"/>
            <w:shd w:val="clear" w:color="auto" w:fill="D0CECE" w:themeFill="background2" w:themeFillShade="E6"/>
            <w:vAlign w:val="center"/>
          </w:tcPr>
          <w:p w14:paraId="1DCE5F39"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General information of the cooperative approach</w:t>
            </w:r>
          </w:p>
        </w:tc>
        <w:tc>
          <w:tcPr>
            <w:tcW w:w="1588" w:type="dxa"/>
            <w:shd w:val="clear" w:color="auto" w:fill="F2F2F2" w:themeFill="background1" w:themeFillShade="F2"/>
            <w:vAlign w:val="center"/>
          </w:tcPr>
          <w:p w14:paraId="1127CD8D"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Sector(s)</w:t>
            </w:r>
          </w:p>
        </w:tc>
        <w:tc>
          <w:tcPr>
            <w:tcW w:w="5314" w:type="dxa"/>
            <w:gridSpan w:val="6"/>
            <w:vAlign w:val="center"/>
          </w:tcPr>
          <w:p w14:paraId="3F054468" w14:textId="77777777" w:rsidR="00C417B6" w:rsidRPr="00EB3C6A" w:rsidRDefault="00C417B6" w:rsidP="00F42988">
            <w:pPr>
              <w:widowControl/>
              <w:wordWrap/>
              <w:autoSpaceDE/>
              <w:autoSpaceDN/>
              <w:spacing w:after="160"/>
              <w:rPr>
                <w:rFonts w:ascii="Arial" w:hAnsi="Arial" w:cs="Arial"/>
                <w:b/>
                <w:bCs/>
                <w:sz w:val="16"/>
                <w:szCs w:val="20"/>
                <w:lang w:val="en-GB"/>
              </w:rPr>
            </w:pPr>
          </w:p>
        </w:tc>
      </w:tr>
      <w:tr w:rsidR="00C417B6" w:rsidRPr="00AB7159" w14:paraId="4B75EF52" w14:textId="77777777" w:rsidTr="00F42988">
        <w:trPr>
          <w:trHeight w:val="42"/>
        </w:trPr>
        <w:tc>
          <w:tcPr>
            <w:tcW w:w="1838" w:type="dxa"/>
            <w:vMerge/>
            <w:shd w:val="clear" w:color="auto" w:fill="D0CECE" w:themeFill="background2" w:themeFillShade="E6"/>
          </w:tcPr>
          <w:p w14:paraId="48CD6AF9"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1588" w:type="dxa"/>
            <w:shd w:val="clear" w:color="auto" w:fill="F2F2F2" w:themeFill="background1" w:themeFillShade="F2"/>
          </w:tcPr>
          <w:p w14:paraId="0B8DBEF5"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Type(s)</w:t>
            </w:r>
          </w:p>
        </w:tc>
        <w:tc>
          <w:tcPr>
            <w:tcW w:w="5314" w:type="dxa"/>
            <w:gridSpan w:val="6"/>
          </w:tcPr>
          <w:p w14:paraId="57E37114" w14:textId="77777777" w:rsidR="00C417B6" w:rsidRPr="00EB3C6A" w:rsidRDefault="00C417B6" w:rsidP="00F42988">
            <w:pPr>
              <w:widowControl/>
              <w:wordWrap/>
              <w:autoSpaceDE/>
              <w:autoSpaceDN/>
              <w:spacing w:after="160"/>
              <w:rPr>
                <w:rFonts w:ascii="Arial" w:hAnsi="Arial" w:cs="Arial"/>
                <w:b/>
                <w:bCs/>
                <w:sz w:val="16"/>
                <w:szCs w:val="20"/>
                <w:lang w:val="en-GB"/>
              </w:rPr>
            </w:pPr>
          </w:p>
        </w:tc>
      </w:tr>
      <w:tr w:rsidR="00C417B6" w:rsidRPr="00AB7159" w14:paraId="33518221" w14:textId="77777777" w:rsidTr="00F42988">
        <w:tc>
          <w:tcPr>
            <w:tcW w:w="1838" w:type="dxa"/>
            <w:vMerge/>
            <w:shd w:val="clear" w:color="auto" w:fill="D0CECE" w:themeFill="background2" w:themeFillShade="E6"/>
          </w:tcPr>
          <w:p w14:paraId="066AFB94"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1588" w:type="dxa"/>
            <w:shd w:val="clear" w:color="auto" w:fill="F2F2F2" w:themeFill="background1" w:themeFillShade="F2"/>
          </w:tcPr>
          <w:p w14:paraId="514207A0"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Duration</w:t>
            </w:r>
          </w:p>
        </w:tc>
        <w:tc>
          <w:tcPr>
            <w:tcW w:w="5314" w:type="dxa"/>
            <w:gridSpan w:val="6"/>
          </w:tcPr>
          <w:p w14:paraId="6D2B5B11" w14:textId="77777777" w:rsidR="00C417B6" w:rsidRPr="00EB3C6A" w:rsidRDefault="00C417B6" w:rsidP="00F42988">
            <w:pPr>
              <w:widowControl/>
              <w:wordWrap/>
              <w:autoSpaceDE/>
              <w:autoSpaceDN/>
              <w:spacing w:after="160"/>
              <w:rPr>
                <w:rFonts w:ascii="Arial" w:hAnsi="Arial" w:cs="Arial"/>
                <w:b/>
                <w:bCs/>
                <w:sz w:val="16"/>
                <w:szCs w:val="20"/>
                <w:lang w:val="en-GB"/>
              </w:rPr>
            </w:pPr>
          </w:p>
        </w:tc>
      </w:tr>
      <w:tr w:rsidR="00C417B6" w:rsidRPr="00AB7159" w14:paraId="7C856A6B" w14:textId="77777777" w:rsidTr="00F42988">
        <w:tc>
          <w:tcPr>
            <w:tcW w:w="1838" w:type="dxa"/>
            <w:vMerge w:val="restart"/>
            <w:shd w:val="clear" w:color="auto" w:fill="D0CECE" w:themeFill="background2" w:themeFillShade="E6"/>
            <w:vAlign w:val="center"/>
          </w:tcPr>
          <w:p w14:paraId="58F9F5A4"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Expected mitigation</w:t>
            </w:r>
            <w:r>
              <w:rPr>
                <w:rFonts w:ascii="Arial" w:hAnsi="Arial" w:cs="Arial"/>
                <w:b/>
                <w:bCs/>
                <w:sz w:val="16"/>
                <w:szCs w:val="20"/>
                <w:lang w:val="en-GB"/>
              </w:rPr>
              <w:t xml:space="preserve"> outcomes</w:t>
            </w:r>
          </w:p>
        </w:tc>
        <w:tc>
          <w:tcPr>
            <w:tcW w:w="1588" w:type="dxa"/>
            <w:shd w:val="clear" w:color="auto" w:fill="F2F2F2" w:themeFill="background1" w:themeFillShade="F2"/>
          </w:tcPr>
          <w:p w14:paraId="085183A0"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Year</w:t>
            </w:r>
          </w:p>
        </w:tc>
        <w:tc>
          <w:tcPr>
            <w:tcW w:w="748" w:type="dxa"/>
            <w:shd w:val="clear" w:color="auto" w:fill="F2F2F2" w:themeFill="background1" w:themeFillShade="F2"/>
          </w:tcPr>
          <w:p w14:paraId="3A334BF2"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Y</w:t>
            </w:r>
          </w:p>
        </w:tc>
        <w:tc>
          <w:tcPr>
            <w:tcW w:w="709" w:type="dxa"/>
            <w:shd w:val="clear" w:color="auto" w:fill="F2F2F2" w:themeFill="background1" w:themeFillShade="F2"/>
          </w:tcPr>
          <w:p w14:paraId="5CF54CF1"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Y+1</w:t>
            </w:r>
          </w:p>
        </w:tc>
        <w:tc>
          <w:tcPr>
            <w:tcW w:w="709" w:type="dxa"/>
            <w:shd w:val="clear" w:color="auto" w:fill="F2F2F2" w:themeFill="background1" w:themeFillShade="F2"/>
          </w:tcPr>
          <w:p w14:paraId="4995A513"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Y+2</w:t>
            </w:r>
          </w:p>
        </w:tc>
        <w:tc>
          <w:tcPr>
            <w:tcW w:w="709" w:type="dxa"/>
            <w:shd w:val="clear" w:color="auto" w:fill="F2F2F2" w:themeFill="background1" w:themeFillShade="F2"/>
          </w:tcPr>
          <w:p w14:paraId="0CEA967C"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Y+3</w:t>
            </w:r>
          </w:p>
        </w:tc>
        <w:tc>
          <w:tcPr>
            <w:tcW w:w="709" w:type="dxa"/>
            <w:shd w:val="clear" w:color="auto" w:fill="F2F2F2" w:themeFill="background1" w:themeFillShade="F2"/>
          </w:tcPr>
          <w:p w14:paraId="1E9BB897"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 xml:space="preserve">… </w:t>
            </w:r>
          </w:p>
        </w:tc>
        <w:tc>
          <w:tcPr>
            <w:tcW w:w="1730" w:type="dxa"/>
            <w:shd w:val="clear" w:color="auto" w:fill="F2F2F2" w:themeFill="background1" w:themeFillShade="F2"/>
          </w:tcPr>
          <w:p w14:paraId="57052C68" w14:textId="77777777" w:rsidR="00C417B6" w:rsidRPr="00EB3C6A" w:rsidRDefault="00C417B6" w:rsidP="00F42988">
            <w:pPr>
              <w:widowControl/>
              <w:wordWrap/>
              <w:autoSpaceDE/>
              <w:autoSpaceDN/>
              <w:spacing w:after="160"/>
              <w:rPr>
                <w:rFonts w:ascii="Arial" w:hAnsi="Arial" w:cs="Arial"/>
                <w:b/>
                <w:bCs/>
                <w:sz w:val="16"/>
                <w:szCs w:val="20"/>
                <w:lang w:val="en-GB"/>
              </w:rPr>
            </w:pPr>
            <w:r w:rsidRPr="00EB3C6A">
              <w:rPr>
                <w:rFonts w:ascii="Arial" w:hAnsi="Arial" w:cs="Arial"/>
                <w:b/>
                <w:bCs/>
                <w:sz w:val="16"/>
                <w:szCs w:val="20"/>
                <w:lang w:val="en-GB"/>
              </w:rPr>
              <w:t>Total</w:t>
            </w:r>
          </w:p>
        </w:tc>
      </w:tr>
      <w:tr w:rsidR="00C417B6" w:rsidRPr="00AB7159" w14:paraId="5042B2EC" w14:textId="77777777" w:rsidTr="00F42988">
        <w:tc>
          <w:tcPr>
            <w:tcW w:w="1838" w:type="dxa"/>
            <w:vMerge/>
            <w:shd w:val="clear" w:color="auto" w:fill="D0CECE" w:themeFill="background2" w:themeFillShade="E6"/>
          </w:tcPr>
          <w:p w14:paraId="25508681"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1588" w:type="dxa"/>
            <w:shd w:val="clear" w:color="auto" w:fill="F2F2F2" w:themeFill="background1" w:themeFillShade="F2"/>
          </w:tcPr>
          <w:p w14:paraId="1D44D19E" w14:textId="77777777" w:rsidR="00C417B6" w:rsidRPr="00EB3C6A" w:rsidRDefault="00C417B6" w:rsidP="00F42988">
            <w:pPr>
              <w:widowControl/>
              <w:wordWrap/>
              <w:autoSpaceDE/>
              <w:autoSpaceDN/>
              <w:spacing w:after="160"/>
              <w:rPr>
                <w:rFonts w:ascii="Arial" w:hAnsi="Arial" w:cs="Arial"/>
                <w:b/>
                <w:bCs/>
                <w:sz w:val="16"/>
                <w:szCs w:val="20"/>
                <w:lang w:val="en-GB"/>
              </w:rPr>
            </w:pPr>
            <w:proofErr w:type="spellStart"/>
            <w:r w:rsidRPr="00EB3C6A">
              <w:rPr>
                <w:rFonts w:ascii="Arial" w:hAnsi="Arial" w:cs="Arial"/>
                <w:b/>
                <w:bCs/>
                <w:sz w:val="16"/>
                <w:szCs w:val="20"/>
                <w:lang w:val="en-GB"/>
              </w:rPr>
              <w:t>tCO</w:t>
            </w:r>
            <w:r w:rsidRPr="00EB3C6A">
              <w:rPr>
                <w:rFonts w:ascii="맑은 고딕" w:eastAsia="맑은 고딕" w:hAnsi="맑은 고딕" w:cs="맑은 고딕"/>
                <w:b/>
                <w:bCs/>
                <w:sz w:val="16"/>
                <w:szCs w:val="20"/>
                <w:lang w:val="en-GB"/>
              </w:rPr>
              <w:t>₂</w:t>
            </w:r>
            <w:r>
              <w:rPr>
                <w:rFonts w:ascii="Arial" w:hAnsi="Arial" w:cs="Arial"/>
                <w:b/>
                <w:bCs/>
                <w:sz w:val="16"/>
                <w:szCs w:val="20"/>
                <w:lang w:val="en-GB"/>
              </w:rPr>
              <w:t>eq</w:t>
            </w:r>
            <w:proofErr w:type="spellEnd"/>
            <w:r>
              <w:rPr>
                <w:rFonts w:ascii="Arial" w:hAnsi="Arial" w:cs="Arial"/>
                <w:b/>
                <w:bCs/>
                <w:sz w:val="16"/>
                <w:szCs w:val="20"/>
                <w:lang w:val="en-GB"/>
              </w:rPr>
              <w:t xml:space="preserve"> or other non-GHG metrics</w:t>
            </w:r>
          </w:p>
        </w:tc>
        <w:tc>
          <w:tcPr>
            <w:tcW w:w="748" w:type="dxa"/>
          </w:tcPr>
          <w:p w14:paraId="742A4A33"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709" w:type="dxa"/>
          </w:tcPr>
          <w:p w14:paraId="156D8263"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709" w:type="dxa"/>
          </w:tcPr>
          <w:p w14:paraId="252FCD2F"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709" w:type="dxa"/>
          </w:tcPr>
          <w:p w14:paraId="35DF46E9"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709" w:type="dxa"/>
          </w:tcPr>
          <w:p w14:paraId="51B03362" w14:textId="77777777" w:rsidR="00C417B6" w:rsidRPr="00EB3C6A" w:rsidRDefault="00C417B6" w:rsidP="00F42988">
            <w:pPr>
              <w:widowControl/>
              <w:wordWrap/>
              <w:autoSpaceDE/>
              <w:autoSpaceDN/>
              <w:spacing w:after="160"/>
              <w:rPr>
                <w:rFonts w:ascii="Arial" w:hAnsi="Arial" w:cs="Arial"/>
                <w:b/>
                <w:bCs/>
                <w:sz w:val="16"/>
                <w:szCs w:val="20"/>
                <w:lang w:val="en-GB"/>
              </w:rPr>
            </w:pPr>
          </w:p>
        </w:tc>
        <w:tc>
          <w:tcPr>
            <w:tcW w:w="1730" w:type="dxa"/>
          </w:tcPr>
          <w:p w14:paraId="6FB00F2A" w14:textId="77777777" w:rsidR="00C417B6" w:rsidRPr="00EB3C6A" w:rsidRDefault="00C417B6" w:rsidP="00F42988">
            <w:pPr>
              <w:widowControl/>
              <w:wordWrap/>
              <w:autoSpaceDE/>
              <w:autoSpaceDN/>
              <w:spacing w:after="160"/>
              <w:rPr>
                <w:rFonts w:ascii="Arial" w:hAnsi="Arial" w:cs="Arial"/>
                <w:b/>
                <w:bCs/>
                <w:sz w:val="16"/>
                <w:szCs w:val="20"/>
                <w:lang w:val="en-GB"/>
              </w:rPr>
            </w:pPr>
          </w:p>
        </w:tc>
      </w:tr>
    </w:tbl>
    <w:p w14:paraId="3FF4DC50" w14:textId="77777777" w:rsidR="000A0E75" w:rsidRPr="00C417B6" w:rsidRDefault="000A0E75" w:rsidP="00B55ABF">
      <w:pPr>
        <w:widowControl/>
        <w:wordWrap/>
        <w:autoSpaceDE/>
        <w:autoSpaceDN/>
        <w:rPr>
          <w:rFonts w:ascii="Arial" w:hAnsi="Arial" w:cs="Arial"/>
          <w:b/>
          <w:bCs/>
          <w:sz w:val="20"/>
          <w:szCs w:val="20"/>
        </w:rPr>
      </w:pPr>
    </w:p>
    <w:p w14:paraId="4F8FF8DF" w14:textId="77777777" w:rsidR="0018217A" w:rsidRPr="00AB7159" w:rsidRDefault="0018217A" w:rsidP="0018217A">
      <w:pPr>
        <w:widowControl/>
        <w:wordWrap/>
        <w:autoSpaceDE/>
        <w:autoSpaceDN/>
        <w:rPr>
          <w:rFonts w:ascii="Arial" w:hAnsi="Arial" w:cs="Arial"/>
          <w:sz w:val="20"/>
          <w:szCs w:val="20"/>
          <w:lang w:val="en-GB"/>
        </w:rPr>
      </w:pPr>
      <w:r w:rsidRPr="00AB7159">
        <w:rPr>
          <w:rFonts w:ascii="Arial" w:hAnsi="Arial" w:cs="Arial"/>
          <w:sz w:val="20"/>
          <w:szCs w:val="20"/>
          <w:lang w:val="en-GB"/>
        </w:rPr>
        <w:t>Additionally, since an “authorization” is a trigger for the submission of the initial report and the application of corresponding adjustments in the context of A6.2 guidance, further definition of authorization would be needed including how to operationalize it using Article 6.2 infrastructure.</w:t>
      </w:r>
    </w:p>
    <w:p w14:paraId="40649F75" w14:textId="77777777" w:rsidR="00F83F5B" w:rsidRPr="006300AE" w:rsidRDefault="00F83F5B" w:rsidP="00B55ABF">
      <w:pPr>
        <w:widowControl/>
        <w:wordWrap/>
        <w:autoSpaceDE/>
        <w:autoSpaceDN/>
        <w:rPr>
          <w:rFonts w:ascii="Arial" w:hAnsi="Arial" w:cs="Arial"/>
          <w:b/>
          <w:bCs/>
          <w:sz w:val="20"/>
          <w:szCs w:val="20"/>
          <w:lang w:val="en-GB"/>
        </w:rPr>
      </w:pPr>
    </w:p>
    <w:p w14:paraId="142852E1" w14:textId="638EFB9E" w:rsidR="002758A5" w:rsidRPr="00CD6162" w:rsidRDefault="002758A5" w:rsidP="00914F49">
      <w:pPr>
        <w:pStyle w:val="a5"/>
        <w:widowControl/>
        <w:numPr>
          <w:ilvl w:val="0"/>
          <w:numId w:val="37"/>
        </w:numPr>
        <w:wordWrap/>
        <w:autoSpaceDE/>
        <w:autoSpaceDN/>
        <w:ind w:leftChars="0"/>
        <w:rPr>
          <w:rFonts w:ascii="Arial" w:hAnsi="Arial" w:cs="Arial"/>
          <w:b/>
          <w:bCs/>
          <w:color w:val="000000" w:themeColor="text1"/>
          <w:sz w:val="24"/>
          <w:szCs w:val="20"/>
          <w:lang w:val="en-GB"/>
        </w:rPr>
      </w:pPr>
      <w:r w:rsidRPr="00CD6162">
        <w:rPr>
          <w:rFonts w:ascii="Arial" w:hAnsi="Arial" w:cs="Arial"/>
          <w:b/>
          <w:bCs/>
          <w:color w:val="000000" w:themeColor="text1"/>
          <w:sz w:val="24"/>
          <w:szCs w:val="20"/>
          <w:lang w:val="en-GB"/>
        </w:rPr>
        <w:t>Annual information</w:t>
      </w:r>
    </w:p>
    <w:p w14:paraId="6A004A6B" w14:textId="77777777" w:rsidR="002758A5" w:rsidRPr="00AB7159" w:rsidRDefault="002758A5" w:rsidP="002758A5">
      <w:pPr>
        <w:widowControl/>
        <w:wordWrap/>
        <w:autoSpaceDE/>
        <w:autoSpaceDN/>
        <w:rPr>
          <w:rFonts w:ascii="Arial" w:hAnsi="Arial" w:cs="Arial"/>
          <w:b/>
          <w:bCs/>
          <w:sz w:val="20"/>
          <w:szCs w:val="20"/>
          <w:lang w:val="en-GB"/>
        </w:rPr>
      </w:pPr>
    </w:p>
    <w:p w14:paraId="2833CC0E"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lastRenderedPageBreak/>
        <w:t xml:space="preserve">One of the clearest mandates is to develop an agreed electronic format (AEF) for an annual information as per paragraph 20 of the A6.2 guidance. Since an annual information referred to in paragraph 20 deals with quantitative information directly related to ITMOs’ transaction, the AEF should be developed as clear as possible including the definition of each terminology to avoid human errors and to minimize the burden of the Parties. </w:t>
      </w:r>
    </w:p>
    <w:p w14:paraId="2772E70F"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t>The ROK suggests that the AEF should be developed as one aggregated table as table 3 below and appendix 1, and of course, we are open to accommodate other Parties’ views since, as it named, the AEF should be agreed by all Parties.</w:t>
      </w:r>
    </w:p>
    <w:p w14:paraId="520F9372"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t xml:space="preserve">Table 3 thoroughly reflects all required information elements referred to in paragraph 20 of the A6.2 guidance. In our view, paragraph 20(b) is about identification information of each cooperative approach and 20(a) is about annual total amount of ITMOs’ transaction of the approach. With that this logic, we suggest to arrange 20(b) on the left side of the table to enable to sort the annual information of each cooperative approach. Additionally, we think this format could provide the information required for paragraph 23(j) of the A6.2 guidance by automatic data exporting from the Article 6 database (A6DB). </w:t>
      </w:r>
    </w:p>
    <w:p w14:paraId="01378D08"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t>Table 3 below also contains sample transactions between the ROK and Mexico for better understanding. Assuming that in year 2023, the ROK, a reporting Party, participates in only two cooperative approaches and has only one partner Party, Mexico, to simplify our proposal. The first column shows that the ROK acquires 100 ITMOs from the “Landfill gas capture project” in Mexico and after that, the ROK cancels 5 ITMOs voluntarily for overall mitigation in global emissions and uses 20 ITMOs for achieving its NDC in 2023. The second column indicates that the ROK is the host Party for “Clean energy initiative” and a couple of aviation companies in Mexico will use 200 ITMOs for the purpose of compliance their obligation under the CORSIA of the ICAO. In our understanding, paragraph 20(a) of the A6.2 guidance could be re-arranged considering arithmetical consequences for calculating annual net-balance. This annual net-balance means the amounts of ITMOs a Party neither used nor cancelled at the end of given year.</w:t>
      </w:r>
    </w:p>
    <w:p w14:paraId="28B55347"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t xml:space="preserve">For calculating holdings, “first transfer”, “transfer”, “cancellation”, “cancellation for OMGE” and “use towards NDC” have negative value (-) while only “acquisition” has positive value (+) from the view of the reporting Party. Whereas, the amounts of authorization does not affect the result value and these amounts should be identically reported by all participating Parties of the same cooperative approach. </w:t>
      </w:r>
    </w:p>
    <w:p w14:paraId="4F489AF7" w14:textId="77777777" w:rsidR="002758A5" w:rsidRPr="00AB7159" w:rsidRDefault="002758A5" w:rsidP="002758A5">
      <w:pPr>
        <w:widowControl/>
        <w:wordWrap/>
        <w:autoSpaceDE/>
        <w:autoSpaceDN/>
        <w:rPr>
          <w:rFonts w:ascii="Arial" w:hAnsi="Arial" w:cs="Arial"/>
          <w:b/>
          <w:bCs/>
          <w:sz w:val="20"/>
          <w:szCs w:val="20"/>
          <w:lang w:val="en-GB"/>
        </w:rPr>
      </w:pPr>
    </w:p>
    <w:p w14:paraId="2F6DDD35" w14:textId="77777777" w:rsidR="002758A5" w:rsidRPr="00F02FC1" w:rsidRDefault="002758A5" w:rsidP="002758A5">
      <w:pPr>
        <w:widowControl/>
        <w:wordWrap/>
        <w:autoSpaceDE/>
        <w:autoSpaceDN/>
        <w:rPr>
          <w:b/>
          <w:bCs/>
          <w:sz w:val="20"/>
          <w:szCs w:val="20"/>
        </w:rPr>
      </w:pPr>
      <w:r w:rsidRPr="00F02FC1">
        <w:rPr>
          <w:b/>
          <w:bCs/>
          <w:sz w:val="20"/>
          <w:szCs w:val="20"/>
        </w:rPr>
        <w:t xml:space="preserve">Table </w:t>
      </w:r>
      <w:r w:rsidRPr="00F02FC1">
        <w:rPr>
          <w:b/>
          <w:bCs/>
          <w:sz w:val="20"/>
          <w:szCs w:val="20"/>
        </w:rPr>
        <w:fldChar w:fldCharType="begin"/>
      </w:r>
      <w:r w:rsidRPr="00F02FC1">
        <w:rPr>
          <w:b/>
          <w:bCs/>
          <w:sz w:val="20"/>
          <w:szCs w:val="20"/>
        </w:rPr>
        <w:instrText xml:space="preserve"> SEQ Table \* ARABIC </w:instrText>
      </w:r>
      <w:r w:rsidRPr="00F02FC1">
        <w:rPr>
          <w:b/>
          <w:bCs/>
          <w:sz w:val="20"/>
          <w:szCs w:val="20"/>
        </w:rPr>
        <w:fldChar w:fldCharType="separate"/>
      </w:r>
      <w:r w:rsidR="001C42EC">
        <w:rPr>
          <w:b/>
          <w:bCs/>
          <w:noProof/>
          <w:sz w:val="20"/>
          <w:szCs w:val="20"/>
        </w:rPr>
        <w:t>3</w:t>
      </w:r>
      <w:r w:rsidRPr="00F02FC1">
        <w:rPr>
          <w:b/>
          <w:bCs/>
          <w:sz w:val="20"/>
          <w:szCs w:val="20"/>
        </w:rPr>
        <w:fldChar w:fldCharType="end"/>
      </w:r>
      <w:r w:rsidRPr="00F02FC1">
        <w:rPr>
          <w:b/>
          <w:bCs/>
          <w:sz w:val="20"/>
          <w:szCs w:val="20"/>
        </w:rPr>
        <w:t>. An Agreed electronic format for an annual information proposed by the ROK</w:t>
      </w:r>
    </w:p>
    <w:p w14:paraId="24CC0E2D" w14:textId="77777777" w:rsidR="002758A5" w:rsidRPr="00AB7159" w:rsidRDefault="002758A5" w:rsidP="002758A5">
      <w:pPr>
        <w:widowControl/>
        <w:wordWrap/>
        <w:autoSpaceDE/>
        <w:autoSpaceDN/>
        <w:rPr>
          <w:rFonts w:ascii="Arial" w:hAnsi="Arial" w:cs="Arial"/>
          <w:b/>
          <w:bCs/>
          <w:sz w:val="20"/>
          <w:szCs w:val="20"/>
          <w:lang w:val="en-GB"/>
        </w:rPr>
      </w:pPr>
      <w:r w:rsidRPr="00AB7159">
        <w:rPr>
          <w:rFonts w:ascii="Arial" w:hAnsi="Arial" w:cs="Arial"/>
          <w:b/>
          <w:bCs/>
          <w:noProof/>
          <w:sz w:val="20"/>
          <w:szCs w:val="20"/>
        </w:rPr>
        <w:drawing>
          <wp:inline distT="0" distB="0" distL="0" distR="0" wp14:anchorId="1340A9D4" wp14:editId="7D96D2E0">
            <wp:extent cx="5770880" cy="1422400"/>
            <wp:effectExtent l="0" t="0" r="127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0880" cy="1422400"/>
                    </a:xfrm>
                    <a:prstGeom prst="rect">
                      <a:avLst/>
                    </a:prstGeom>
                  </pic:spPr>
                </pic:pic>
              </a:graphicData>
            </a:graphic>
          </wp:inline>
        </w:drawing>
      </w:r>
    </w:p>
    <w:p w14:paraId="0489C049" w14:textId="77777777" w:rsidR="00F02FC1" w:rsidRPr="00AB7159" w:rsidRDefault="00F02FC1" w:rsidP="002758A5">
      <w:pPr>
        <w:widowControl/>
        <w:wordWrap/>
        <w:autoSpaceDE/>
        <w:autoSpaceDN/>
        <w:rPr>
          <w:rFonts w:ascii="Arial" w:hAnsi="Arial" w:cs="Arial"/>
          <w:b/>
          <w:bCs/>
          <w:sz w:val="20"/>
          <w:szCs w:val="20"/>
          <w:lang w:val="en-GB"/>
        </w:rPr>
      </w:pPr>
    </w:p>
    <w:p w14:paraId="53135E5B"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t>Regarding the terminology, the ROK suggests definition of key information items as follows:</w:t>
      </w:r>
    </w:p>
    <w:p w14:paraId="2917A00D"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tab/>
        <w:t>(a) Annual: 1 January to 31 December of the reported year;</w:t>
      </w:r>
    </w:p>
    <w:p w14:paraId="0A63E825"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tab/>
        <w:t>(b) Party code: ISO3166 alpha-2 code;</w:t>
      </w:r>
    </w:p>
    <w:p w14:paraId="35CD899E"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tab/>
        <w:t>(c) Authorization of ITMOs toward NDC or mitigation outcomes for other international mitigation purpose: authorization of first transfer pursuant to paragraph 2(a) and (b) of the A6.2 guidance;</w:t>
      </w:r>
    </w:p>
    <w:p w14:paraId="29253264" w14:textId="69BD227D"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lastRenderedPageBreak/>
        <w:tab/>
        <w:t>(d) Holdings: Annual net balance of each cooperative approach. The absolute value of the holdings represents the ITMOs neither used nor cancelled at the end of the reported year.</w:t>
      </w:r>
      <w:r w:rsidR="00B30E04" w:rsidRPr="00AB7159">
        <w:rPr>
          <w:rFonts w:ascii="Arial" w:hAnsi="Arial" w:cs="Arial"/>
          <w:sz w:val="20"/>
          <w:szCs w:val="20"/>
          <w:lang w:val="en-GB"/>
        </w:rPr>
        <w:t>]</w:t>
      </w:r>
    </w:p>
    <w:p w14:paraId="2304BD7E" w14:textId="77777777" w:rsidR="002758A5" w:rsidRPr="00AB7159" w:rsidRDefault="002758A5" w:rsidP="002758A5">
      <w:pPr>
        <w:widowControl/>
        <w:wordWrap/>
        <w:autoSpaceDE/>
        <w:autoSpaceDN/>
        <w:rPr>
          <w:rFonts w:ascii="Arial" w:hAnsi="Arial" w:cs="Arial"/>
          <w:b/>
          <w:bCs/>
          <w:sz w:val="20"/>
          <w:szCs w:val="20"/>
          <w:lang w:val="en-GB"/>
        </w:rPr>
      </w:pPr>
    </w:p>
    <w:p w14:paraId="07E64AD7" w14:textId="23336FF6" w:rsidR="002758A5" w:rsidRPr="00CD6162" w:rsidRDefault="00914F49" w:rsidP="00914F49">
      <w:pPr>
        <w:pStyle w:val="a5"/>
        <w:widowControl/>
        <w:wordWrap/>
        <w:autoSpaceDE/>
        <w:autoSpaceDN/>
        <w:ind w:leftChars="0" w:left="1200"/>
        <w:rPr>
          <w:rFonts w:ascii="Arial" w:hAnsi="Arial" w:cs="Arial"/>
          <w:b/>
          <w:bCs/>
          <w:color w:val="000000" w:themeColor="text1"/>
          <w:sz w:val="24"/>
          <w:szCs w:val="20"/>
          <w:lang w:val="en-GB"/>
        </w:rPr>
      </w:pPr>
      <w:r w:rsidRPr="00CD6162">
        <w:rPr>
          <w:rFonts w:ascii="Arial" w:hAnsi="Arial" w:cs="Arial"/>
          <w:b/>
          <w:bCs/>
          <w:color w:val="000000" w:themeColor="text1"/>
          <w:sz w:val="24"/>
          <w:szCs w:val="20"/>
          <w:lang w:val="en-GB"/>
        </w:rPr>
        <w:t xml:space="preserve">D. </w:t>
      </w:r>
      <w:r w:rsidR="002758A5" w:rsidRPr="00CD6162">
        <w:rPr>
          <w:rFonts w:ascii="Arial" w:hAnsi="Arial" w:cs="Arial"/>
          <w:b/>
          <w:bCs/>
          <w:color w:val="000000" w:themeColor="text1"/>
          <w:sz w:val="24"/>
          <w:szCs w:val="20"/>
          <w:lang w:val="en-GB"/>
        </w:rPr>
        <w:t>Regular information</w:t>
      </w:r>
    </w:p>
    <w:p w14:paraId="28D1D932" w14:textId="77777777" w:rsidR="002758A5" w:rsidRPr="00AB7159" w:rsidRDefault="002758A5" w:rsidP="002758A5">
      <w:pPr>
        <w:widowControl/>
        <w:wordWrap/>
        <w:autoSpaceDE/>
        <w:autoSpaceDN/>
        <w:rPr>
          <w:rFonts w:ascii="Arial" w:hAnsi="Arial" w:cs="Arial"/>
          <w:b/>
          <w:bCs/>
          <w:sz w:val="20"/>
          <w:szCs w:val="20"/>
          <w:lang w:val="en-GB"/>
        </w:rPr>
      </w:pPr>
    </w:p>
    <w:p w14:paraId="15862AC2" w14:textId="77777777" w:rsidR="002758A5" w:rsidRPr="00AB7159" w:rsidRDefault="002758A5" w:rsidP="002758A5">
      <w:pPr>
        <w:widowControl/>
        <w:wordWrap/>
        <w:autoSpaceDE/>
        <w:autoSpaceDN/>
        <w:rPr>
          <w:rFonts w:ascii="Arial" w:hAnsi="Arial" w:cs="Arial"/>
          <w:sz w:val="20"/>
          <w:szCs w:val="20"/>
          <w:lang w:val="en-GB"/>
        </w:rPr>
      </w:pPr>
      <w:r w:rsidRPr="00AB7159">
        <w:rPr>
          <w:rFonts w:ascii="Arial" w:hAnsi="Arial" w:cs="Arial"/>
          <w:sz w:val="20"/>
          <w:szCs w:val="20"/>
          <w:lang w:val="en-GB"/>
        </w:rPr>
        <w:t xml:space="preserve">The ROK views that the regular information referred to in paragraph 21 to 23 of the A6.2 guidance could be categorised as figure 2 bellow. </w:t>
      </w:r>
    </w:p>
    <w:p w14:paraId="572314EA" w14:textId="77777777" w:rsidR="002758A5" w:rsidRPr="00AB7159" w:rsidRDefault="002758A5" w:rsidP="002758A5">
      <w:pPr>
        <w:widowControl/>
        <w:wordWrap/>
        <w:autoSpaceDE/>
        <w:autoSpaceDN/>
        <w:rPr>
          <w:rFonts w:ascii="Arial" w:hAnsi="Arial" w:cs="Arial"/>
          <w:b/>
          <w:bCs/>
          <w:sz w:val="20"/>
          <w:szCs w:val="20"/>
          <w:lang w:val="en-GB"/>
        </w:rPr>
      </w:pPr>
    </w:p>
    <w:p w14:paraId="77E636F0" w14:textId="77777777" w:rsidR="002758A5" w:rsidRPr="00F02FC1" w:rsidRDefault="002758A5" w:rsidP="002758A5">
      <w:pPr>
        <w:widowControl/>
        <w:wordWrap/>
        <w:autoSpaceDE/>
        <w:autoSpaceDN/>
        <w:rPr>
          <w:b/>
          <w:bCs/>
          <w:sz w:val="20"/>
          <w:szCs w:val="20"/>
        </w:rPr>
      </w:pPr>
      <w:r w:rsidRPr="00F02FC1">
        <w:rPr>
          <w:b/>
          <w:bCs/>
          <w:sz w:val="20"/>
          <w:szCs w:val="20"/>
        </w:rPr>
        <w:t xml:space="preserve">Figure </w:t>
      </w:r>
      <w:r w:rsidRPr="00F02FC1">
        <w:rPr>
          <w:b/>
          <w:bCs/>
          <w:sz w:val="20"/>
          <w:szCs w:val="20"/>
        </w:rPr>
        <w:fldChar w:fldCharType="begin"/>
      </w:r>
      <w:r w:rsidRPr="00F02FC1">
        <w:rPr>
          <w:b/>
          <w:bCs/>
          <w:sz w:val="20"/>
          <w:szCs w:val="20"/>
        </w:rPr>
        <w:instrText xml:space="preserve"> SEQ Figure \* ARABIC </w:instrText>
      </w:r>
      <w:r w:rsidRPr="00F02FC1">
        <w:rPr>
          <w:b/>
          <w:bCs/>
          <w:sz w:val="20"/>
          <w:szCs w:val="20"/>
        </w:rPr>
        <w:fldChar w:fldCharType="separate"/>
      </w:r>
      <w:r w:rsidR="001C42EC">
        <w:rPr>
          <w:b/>
          <w:bCs/>
          <w:noProof/>
          <w:sz w:val="20"/>
          <w:szCs w:val="20"/>
        </w:rPr>
        <w:t>1</w:t>
      </w:r>
      <w:r w:rsidRPr="00F02FC1">
        <w:rPr>
          <w:b/>
          <w:bCs/>
          <w:sz w:val="20"/>
          <w:szCs w:val="20"/>
        </w:rPr>
        <w:fldChar w:fldCharType="end"/>
      </w:r>
      <w:r w:rsidRPr="00F02FC1">
        <w:rPr>
          <w:b/>
          <w:bCs/>
          <w:sz w:val="20"/>
          <w:szCs w:val="20"/>
        </w:rPr>
        <w:t>. Composition of regular information</w:t>
      </w:r>
    </w:p>
    <w:p w14:paraId="55D67E89" w14:textId="77777777" w:rsidR="002758A5" w:rsidRPr="00AB7159" w:rsidRDefault="002758A5" w:rsidP="002758A5">
      <w:pPr>
        <w:widowControl/>
        <w:wordWrap/>
        <w:autoSpaceDE/>
        <w:autoSpaceDN/>
        <w:rPr>
          <w:rFonts w:ascii="Arial" w:hAnsi="Arial" w:cs="Arial"/>
          <w:b/>
          <w:bCs/>
          <w:sz w:val="20"/>
          <w:szCs w:val="20"/>
          <w:lang w:val="en-GB"/>
        </w:rPr>
      </w:pPr>
      <w:r w:rsidRPr="00AB7159">
        <w:rPr>
          <w:rFonts w:ascii="Arial" w:hAnsi="Arial" w:cs="Arial"/>
          <w:b/>
          <w:bCs/>
          <w:noProof/>
          <w:sz w:val="20"/>
          <w:szCs w:val="20"/>
        </w:rPr>
        <w:drawing>
          <wp:inline distT="0" distB="0" distL="0" distR="0" wp14:anchorId="045F0AEF" wp14:editId="4C12CD06">
            <wp:extent cx="4613960" cy="888935"/>
            <wp:effectExtent l="0" t="0" r="0" b="698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7851" cy="908951"/>
                    </a:xfrm>
                    <a:prstGeom prst="rect">
                      <a:avLst/>
                    </a:prstGeom>
                    <a:noFill/>
                  </pic:spPr>
                </pic:pic>
              </a:graphicData>
            </a:graphic>
          </wp:inline>
        </w:drawing>
      </w:r>
    </w:p>
    <w:p w14:paraId="20C13699" w14:textId="77777777" w:rsidR="002758A5" w:rsidRPr="00AB7159" w:rsidRDefault="002758A5" w:rsidP="002758A5">
      <w:pPr>
        <w:widowControl/>
        <w:wordWrap/>
        <w:autoSpaceDE/>
        <w:autoSpaceDN/>
        <w:rPr>
          <w:rFonts w:ascii="Arial" w:hAnsi="Arial" w:cs="Arial"/>
          <w:b/>
          <w:bCs/>
          <w:sz w:val="20"/>
          <w:szCs w:val="20"/>
          <w:lang w:val="en-GB"/>
        </w:rPr>
      </w:pPr>
    </w:p>
    <w:p w14:paraId="1807F20F" w14:textId="29819BB9" w:rsidR="00A00AE7" w:rsidRPr="003D3F4F" w:rsidRDefault="002758A5" w:rsidP="00A00AE7">
      <w:pPr>
        <w:widowControl/>
        <w:wordWrap/>
        <w:autoSpaceDE/>
        <w:autoSpaceDN/>
        <w:rPr>
          <w:rFonts w:ascii="Arial" w:hAnsi="Arial" w:cs="Arial"/>
          <w:strike/>
          <w:sz w:val="20"/>
          <w:szCs w:val="20"/>
          <w:lang w:val="en-GB"/>
        </w:rPr>
      </w:pPr>
      <w:r w:rsidRPr="00AB7159">
        <w:rPr>
          <w:rFonts w:ascii="Arial" w:hAnsi="Arial" w:cs="Arial"/>
          <w:sz w:val="20"/>
          <w:szCs w:val="20"/>
          <w:lang w:val="en-GB"/>
        </w:rPr>
        <w:t xml:space="preserve">Since the regular information is a comprehensive report for cooperative approaches that a Party participates and paragraph 1(d) of the decision 5/CMA.3 and its relevant annexes requires the regular information shall include as an annex </w:t>
      </w:r>
      <w:r w:rsidRPr="00AB7159">
        <w:rPr>
          <w:rFonts w:ascii="맑은 고딕" w:hAnsi="맑은 고딕" w:cs="맑은 고딕"/>
          <w:sz w:val="20"/>
          <w:szCs w:val="20"/>
          <w:lang w:val="en-GB"/>
        </w:rPr>
        <w:t>Ⅳ</w:t>
      </w:r>
      <w:r w:rsidRPr="00AB7159">
        <w:rPr>
          <w:rFonts w:ascii="Arial" w:hAnsi="Arial" w:cs="Arial"/>
          <w:sz w:val="20"/>
          <w:szCs w:val="20"/>
          <w:lang w:val="en-GB"/>
        </w:rPr>
        <w:t xml:space="preserve"> to the BTR without any outline, the ROK suggests that the </w:t>
      </w:r>
      <w:r w:rsidRPr="003D3F4F">
        <w:rPr>
          <w:rFonts w:ascii="Arial" w:hAnsi="Arial" w:cs="Arial"/>
          <w:sz w:val="20"/>
          <w:szCs w:val="20"/>
          <w:lang w:val="en-GB"/>
        </w:rPr>
        <w:t xml:space="preserve">outline of the regular information could be flexible to consider different national circumstances as far as the Party could report all information elements required for the A6.2 guidance. </w:t>
      </w:r>
      <w:r w:rsidR="006D2EC8" w:rsidRPr="003D3F4F">
        <w:rPr>
          <w:rFonts w:ascii="Arial" w:hAnsi="Arial" w:cs="Arial"/>
          <w:sz w:val="20"/>
          <w:szCs w:val="20"/>
          <w:lang w:val="en-GB"/>
        </w:rPr>
        <w:t xml:space="preserve">Having said that, a table for the regular information should accommodate all the information referred to in paragraph 21 to 23 of the A6.2 guidance as </w:t>
      </w:r>
      <w:r w:rsidR="006D2EC8" w:rsidRPr="003D3F4F">
        <w:rPr>
          <w:rFonts w:ascii="Arial" w:hAnsi="Arial" w:cs="Arial" w:hint="eastAsia"/>
          <w:sz w:val="20"/>
          <w:szCs w:val="20"/>
          <w:lang w:val="en-GB"/>
        </w:rPr>
        <w:t>table</w:t>
      </w:r>
      <w:r w:rsidR="006D2EC8" w:rsidRPr="003D3F4F">
        <w:rPr>
          <w:rFonts w:ascii="Arial" w:hAnsi="Arial" w:cs="Arial"/>
          <w:sz w:val="20"/>
          <w:szCs w:val="20"/>
          <w:lang w:val="en-GB"/>
        </w:rPr>
        <w:t xml:space="preserve"> 3 below. This table could work a navigating table which enables support for the Article 6 technical expert review (TER), in particular, in terms of completeness check. With this table as a basis, we also propose an outline of the </w:t>
      </w:r>
      <w:r w:rsidR="001B0843" w:rsidRPr="003D3F4F">
        <w:rPr>
          <w:rFonts w:ascii="Arial" w:hAnsi="Arial" w:cs="Arial"/>
          <w:sz w:val="20"/>
          <w:szCs w:val="20"/>
          <w:lang w:val="en-GB"/>
        </w:rPr>
        <w:t>regular information</w:t>
      </w:r>
      <w:r w:rsidR="006D2EC8" w:rsidRPr="003D3F4F">
        <w:rPr>
          <w:rFonts w:ascii="Arial" w:hAnsi="Arial" w:cs="Arial"/>
          <w:sz w:val="20"/>
          <w:szCs w:val="20"/>
          <w:lang w:val="en-GB"/>
        </w:rPr>
        <w:t xml:space="preserve"> as </w:t>
      </w:r>
      <w:r w:rsidR="001B0843" w:rsidRPr="003D3F4F">
        <w:rPr>
          <w:rFonts w:ascii="Arial" w:hAnsi="Arial" w:cs="Arial"/>
          <w:sz w:val="20"/>
          <w:szCs w:val="20"/>
          <w:lang w:val="en-GB"/>
        </w:rPr>
        <w:t>Box 2 below</w:t>
      </w:r>
      <w:r w:rsidR="006D2EC8" w:rsidRPr="003D3F4F">
        <w:rPr>
          <w:rFonts w:ascii="Arial" w:hAnsi="Arial" w:cs="Arial"/>
          <w:sz w:val="20"/>
          <w:szCs w:val="20"/>
          <w:lang w:val="en-GB"/>
        </w:rPr>
        <w:t xml:space="preserve">. </w:t>
      </w:r>
    </w:p>
    <w:p w14:paraId="2F58437B" w14:textId="7BBCE0C5" w:rsidR="002758A5" w:rsidRDefault="002758A5" w:rsidP="002758A5">
      <w:pPr>
        <w:widowControl/>
        <w:wordWrap/>
        <w:autoSpaceDE/>
        <w:autoSpaceDN/>
        <w:rPr>
          <w:rFonts w:ascii="Arial" w:hAnsi="Arial" w:cs="Arial"/>
          <w:sz w:val="20"/>
          <w:szCs w:val="20"/>
          <w:lang w:val="en-GB"/>
        </w:rPr>
      </w:pPr>
    </w:p>
    <w:p w14:paraId="282102F0" w14:textId="1CDF2FF7" w:rsidR="00A72CA8" w:rsidRDefault="00A72CA8" w:rsidP="00A72CA8">
      <w:pPr>
        <w:pStyle w:val="af1"/>
        <w:keepNext/>
      </w:pPr>
      <w:r>
        <w:t xml:space="preserve">Table </w:t>
      </w:r>
      <w:r w:rsidR="00D52B5E">
        <w:fldChar w:fldCharType="begin"/>
      </w:r>
      <w:r w:rsidR="00D52B5E">
        <w:instrText xml:space="preserve"> SEQ Table \* ARABIC </w:instrText>
      </w:r>
      <w:r w:rsidR="00D52B5E">
        <w:fldChar w:fldCharType="separate"/>
      </w:r>
      <w:r w:rsidR="001C42EC">
        <w:rPr>
          <w:noProof/>
        </w:rPr>
        <w:t>4</w:t>
      </w:r>
      <w:r w:rsidR="00D52B5E">
        <w:rPr>
          <w:noProof/>
        </w:rPr>
        <w:fldChar w:fldCharType="end"/>
      </w:r>
      <w:r>
        <w:t>. Table for the regular in</w:t>
      </w:r>
      <w:r w:rsidR="00CD6162">
        <w:t>f</w:t>
      </w:r>
      <w:r>
        <w:t>ormation proposed by the ROK</w:t>
      </w:r>
    </w:p>
    <w:tbl>
      <w:tblPr>
        <w:tblStyle w:val="ac"/>
        <w:tblW w:w="0" w:type="auto"/>
        <w:tblLook w:val="04A0" w:firstRow="1" w:lastRow="0" w:firstColumn="1" w:lastColumn="0" w:noHBand="0" w:noVBand="1"/>
      </w:tblPr>
      <w:tblGrid>
        <w:gridCol w:w="5807"/>
        <w:gridCol w:w="3209"/>
      </w:tblGrid>
      <w:tr w:rsidR="009B0A65" w:rsidRPr="003154DF" w14:paraId="06FCA600" w14:textId="77777777" w:rsidTr="00F42988">
        <w:trPr>
          <w:trHeight w:val="159"/>
        </w:trPr>
        <w:tc>
          <w:tcPr>
            <w:tcW w:w="5807" w:type="dxa"/>
            <w:shd w:val="clear" w:color="auto" w:fill="ACB9CA" w:themeFill="text2" w:themeFillTint="66"/>
          </w:tcPr>
          <w:p w14:paraId="5A6CAE8B" w14:textId="77777777" w:rsidR="009B0A65" w:rsidRPr="003154DF" w:rsidRDefault="009B0A65" w:rsidP="00F42988">
            <w:pPr>
              <w:widowControl/>
              <w:wordWrap/>
              <w:autoSpaceDE/>
              <w:autoSpaceDN/>
              <w:rPr>
                <w:rFonts w:ascii="Arial" w:hAnsi="Arial" w:cs="Arial"/>
                <w:b/>
                <w:bCs/>
                <w:sz w:val="18"/>
                <w:szCs w:val="20"/>
                <w:lang w:val="en-GB"/>
              </w:rPr>
            </w:pPr>
            <w:r w:rsidRPr="003154DF">
              <w:rPr>
                <w:rFonts w:ascii="Arial" w:hAnsi="Arial" w:cs="Arial" w:hint="eastAsia"/>
                <w:b/>
                <w:bCs/>
                <w:sz w:val="18"/>
                <w:szCs w:val="20"/>
                <w:lang w:val="en-GB"/>
              </w:rPr>
              <w:t xml:space="preserve">Reporting </w:t>
            </w:r>
            <w:r>
              <w:rPr>
                <w:rFonts w:ascii="Arial" w:hAnsi="Arial" w:cs="Arial"/>
                <w:b/>
                <w:bCs/>
                <w:sz w:val="18"/>
                <w:szCs w:val="20"/>
                <w:lang w:val="en-GB"/>
              </w:rPr>
              <w:t>requirements</w:t>
            </w:r>
          </w:p>
        </w:tc>
        <w:tc>
          <w:tcPr>
            <w:tcW w:w="3209" w:type="dxa"/>
            <w:shd w:val="clear" w:color="auto" w:fill="ACB9CA" w:themeFill="text2" w:themeFillTint="66"/>
          </w:tcPr>
          <w:p w14:paraId="1670F892" w14:textId="0D577EBD" w:rsidR="009B0A65" w:rsidRPr="003154DF" w:rsidRDefault="009B0A65" w:rsidP="00F42988">
            <w:pPr>
              <w:widowControl/>
              <w:wordWrap/>
              <w:autoSpaceDE/>
              <w:autoSpaceDN/>
              <w:rPr>
                <w:rFonts w:ascii="Arial" w:hAnsi="Arial" w:cs="Arial"/>
                <w:b/>
                <w:bCs/>
                <w:sz w:val="18"/>
                <w:szCs w:val="20"/>
                <w:lang w:val="en-GB"/>
              </w:rPr>
            </w:pPr>
            <w:r>
              <w:rPr>
                <w:rFonts w:ascii="Arial" w:hAnsi="Arial" w:cs="Arial" w:hint="eastAsia"/>
                <w:b/>
                <w:bCs/>
                <w:sz w:val="18"/>
                <w:szCs w:val="20"/>
                <w:lang w:val="en-GB"/>
              </w:rPr>
              <w:t>Description or reference to the relevant section of the BTR</w:t>
            </w:r>
          </w:p>
        </w:tc>
      </w:tr>
      <w:tr w:rsidR="00A72CA8" w:rsidRPr="003154DF" w14:paraId="21C0788A" w14:textId="77777777" w:rsidTr="00F42988">
        <w:trPr>
          <w:trHeight w:val="159"/>
        </w:trPr>
        <w:tc>
          <w:tcPr>
            <w:tcW w:w="5807" w:type="dxa"/>
            <w:vAlign w:val="center"/>
          </w:tcPr>
          <w:p w14:paraId="257900E1" w14:textId="3BEF547F"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How the Party is fulfilling the participation responsibilities referred to in chapter II (Participation)</w:t>
            </w:r>
            <w:r w:rsidRPr="00A72CA8">
              <w:rPr>
                <w:rFonts w:ascii="Arial" w:eastAsia="맑은 고딕" w:hAnsi="Arial" w:cs="Arial"/>
                <w:i/>
                <w:kern w:val="0"/>
                <w:sz w:val="18"/>
                <w:szCs w:val="20"/>
              </w:rPr>
              <w:t xml:space="preserve"> (para. 21.(a))</w:t>
            </w:r>
          </w:p>
        </w:tc>
        <w:tc>
          <w:tcPr>
            <w:tcW w:w="3209" w:type="dxa"/>
          </w:tcPr>
          <w:p w14:paraId="2E237807"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2331D3C7" w14:textId="77777777" w:rsidTr="00F42988">
        <w:trPr>
          <w:trHeight w:val="159"/>
        </w:trPr>
        <w:tc>
          <w:tcPr>
            <w:tcW w:w="5807" w:type="dxa"/>
            <w:vAlign w:val="center"/>
          </w:tcPr>
          <w:p w14:paraId="6FDD115C" w14:textId="67895AF6"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Updates to the information provided in its initial report as per chapter IV.A, and any previous biennial transparency reports for any information that is not included in the biennial transparency report pursuant to paragraph 64 of the annex to decision 18/CMA.1 </w:t>
            </w:r>
            <w:r w:rsidRPr="00A72CA8">
              <w:rPr>
                <w:rFonts w:ascii="Arial" w:eastAsia="맑은 고딕" w:hAnsi="Arial" w:cs="Arial"/>
                <w:i/>
                <w:kern w:val="0"/>
                <w:sz w:val="18"/>
                <w:szCs w:val="20"/>
              </w:rPr>
              <w:t>(para. 21.(b))</w:t>
            </w:r>
          </w:p>
        </w:tc>
        <w:tc>
          <w:tcPr>
            <w:tcW w:w="3209" w:type="dxa"/>
          </w:tcPr>
          <w:p w14:paraId="0EEFDE5A"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2232C3F9" w14:textId="77777777" w:rsidTr="00F42988">
        <w:trPr>
          <w:trHeight w:val="159"/>
        </w:trPr>
        <w:tc>
          <w:tcPr>
            <w:tcW w:w="5807" w:type="dxa"/>
            <w:vAlign w:val="center"/>
          </w:tcPr>
          <w:p w14:paraId="49962BCB" w14:textId="1B736C81"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Authorizations and information on its authorization(s) of use of ITMOs towards achievement of NDCs and authorization for use for other international mitigation purposes, including any changes to earlier authorizations, pursuant to Article 6, paragraph 3 </w:t>
            </w:r>
            <w:r w:rsidRPr="00A72CA8">
              <w:rPr>
                <w:rFonts w:ascii="Arial" w:eastAsia="맑은 고딕" w:hAnsi="Arial" w:cs="Arial"/>
                <w:i/>
                <w:kern w:val="0"/>
                <w:sz w:val="18"/>
                <w:szCs w:val="20"/>
              </w:rPr>
              <w:t>(para. 21.(c))</w:t>
            </w:r>
          </w:p>
        </w:tc>
        <w:tc>
          <w:tcPr>
            <w:tcW w:w="3209" w:type="dxa"/>
          </w:tcPr>
          <w:p w14:paraId="211AF4EC"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0BF8AD9A" w14:textId="77777777" w:rsidTr="00F42988">
        <w:trPr>
          <w:trHeight w:val="159"/>
        </w:trPr>
        <w:tc>
          <w:tcPr>
            <w:tcW w:w="5807" w:type="dxa"/>
            <w:vAlign w:val="center"/>
          </w:tcPr>
          <w:p w14:paraId="1094F0D1" w14:textId="3616623D"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How corresponding adjustments undertaken in the latest reporting period, pursuant to chapter III (Corresponding adjustments), ensure that double counting is avoided in accordance with paragraph 36 of decision 1/CP.21 and are representative of progress towards implementation and achievement of its NDC, and how those corresponding adjustments ensure that participation in cooperative approaches does not lead to a net increase in emissions across participating Parties within and between NDC implementation periods </w:t>
            </w:r>
            <w:r w:rsidRPr="00A72CA8">
              <w:rPr>
                <w:rFonts w:ascii="Arial" w:eastAsia="맑은 고딕" w:hAnsi="Arial" w:cs="Arial"/>
                <w:i/>
                <w:kern w:val="0"/>
                <w:sz w:val="18"/>
                <w:szCs w:val="20"/>
              </w:rPr>
              <w:t>(para. 21.(d))</w:t>
            </w:r>
          </w:p>
        </w:tc>
        <w:tc>
          <w:tcPr>
            <w:tcW w:w="3209" w:type="dxa"/>
          </w:tcPr>
          <w:p w14:paraId="3CE72EBC"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1A0878F3" w14:textId="77777777" w:rsidTr="00F42988">
        <w:trPr>
          <w:trHeight w:val="159"/>
        </w:trPr>
        <w:tc>
          <w:tcPr>
            <w:tcW w:w="5807" w:type="dxa"/>
            <w:vAlign w:val="center"/>
          </w:tcPr>
          <w:p w14:paraId="5E28B579" w14:textId="13C37BAE"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lastRenderedPageBreak/>
              <w:t xml:space="preserve">How it has ensured that ITMOs that have been used towards achievement of its NDC or mitigation outcome(s) authorized for use and that have been used for other international mitigation purposes will not be further transferred, further cancelled or otherwise used </w:t>
            </w:r>
            <w:r w:rsidRPr="00A72CA8">
              <w:rPr>
                <w:rFonts w:ascii="Arial" w:eastAsia="맑은 고딕" w:hAnsi="Arial" w:cs="Arial"/>
                <w:i/>
                <w:kern w:val="0"/>
                <w:sz w:val="18"/>
                <w:szCs w:val="20"/>
              </w:rPr>
              <w:t>(para. 21.(e))</w:t>
            </w:r>
          </w:p>
        </w:tc>
        <w:tc>
          <w:tcPr>
            <w:tcW w:w="3209" w:type="dxa"/>
          </w:tcPr>
          <w:p w14:paraId="5AC6DC90"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4C6F39B3" w14:textId="77777777" w:rsidTr="00F42988">
        <w:trPr>
          <w:trHeight w:val="159"/>
        </w:trPr>
        <w:tc>
          <w:tcPr>
            <w:tcW w:w="5807" w:type="dxa"/>
            <w:vAlign w:val="center"/>
          </w:tcPr>
          <w:p w14:paraId="5214C6B0" w14:textId="4D6C7A8E"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i/>
                <w:iCs/>
                <w:kern w:val="0"/>
                <w:sz w:val="18"/>
                <w:szCs w:val="20"/>
              </w:rPr>
              <w:t>Each participating Party shall also include, as an annex to its biennial transparency reports that are submitted in accordance with paragraph 10(b) of the annex to decision 18/CMA.1 and no later than 31 December of the relevant year, the following information on how each cooperative approach in which it participates:</w:t>
            </w:r>
          </w:p>
        </w:tc>
        <w:tc>
          <w:tcPr>
            <w:tcW w:w="3209" w:type="dxa"/>
          </w:tcPr>
          <w:p w14:paraId="02172190"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07E97DD6" w14:textId="77777777" w:rsidTr="00F42988">
        <w:trPr>
          <w:trHeight w:val="159"/>
        </w:trPr>
        <w:tc>
          <w:tcPr>
            <w:tcW w:w="5807" w:type="dxa"/>
            <w:vAlign w:val="center"/>
          </w:tcPr>
          <w:p w14:paraId="62055E32" w14:textId="55A68A34"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Contributes to the mitigation of GHGs and the implementation of its NDC </w:t>
            </w:r>
            <w:r w:rsidRPr="00A72CA8">
              <w:rPr>
                <w:rFonts w:ascii="Arial" w:eastAsia="맑은 고딕" w:hAnsi="Arial" w:cs="Arial"/>
                <w:i/>
                <w:kern w:val="0"/>
                <w:sz w:val="18"/>
                <w:szCs w:val="20"/>
              </w:rPr>
              <w:t>(para. 22.(a))</w:t>
            </w:r>
          </w:p>
        </w:tc>
        <w:tc>
          <w:tcPr>
            <w:tcW w:w="3209" w:type="dxa"/>
          </w:tcPr>
          <w:p w14:paraId="02FB90AA"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0DDC2BB8" w14:textId="77777777" w:rsidTr="00A72CA8">
        <w:trPr>
          <w:trHeight w:val="159"/>
        </w:trPr>
        <w:tc>
          <w:tcPr>
            <w:tcW w:w="5807" w:type="dxa"/>
            <w:shd w:val="clear" w:color="auto" w:fill="auto"/>
            <w:vAlign w:val="center"/>
          </w:tcPr>
          <w:p w14:paraId="238D3770" w14:textId="7110C6F4"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i/>
                <w:iCs/>
                <w:kern w:val="0"/>
                <w:sz w:val="18"/>
                <w:szCs w:val="20"/>
              </w:rPr>
              <w:t>Ensures environmental integrity, including:</w:t>
            </w:r>
          </w:p>
        </w:tc>
        <w:tc>
          <w:tcPr>
            <w:tcW w:w="3209" w:type="dxa"/>
            <w:shd w:val="clear" w:color="auto" w:fill="auto"/>
          </w:tcPr>
          <w:p w14:paraId="7B949319"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79CDEEAB" w14:textId="77777777" w:rsidTr="00F42988">
        <w:trPr>
          <w:trHeight w:val="159"/>
        </w:trPr>
        <w:tc>
          <w:tcPr>
            <w:tcW w:w="5807" w:type="dxa"/>
            <w:vAlign w:val="center"/>
          </w:tcPr>
          <w:p w14:paraId="5285F6DA" w14:textId="2BAD6538"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That there is no net increase in global emissions within and between NDC implementation periods </w:t>
            </w:r>
            <w:r w:rsidRPr="00A72CA8">
              <w:rPr>
                <w:rFonts w:ascii="Arial" w:eastAsia="맑은 고딕" w:hAnsi="Arial" w:cs="Arial"/>
                <w:i/>
                <w:kern w:val="0"/>
                <w:sz w:val="18"/>
                <w:szCs w:val="20"/>
              </w:rPr>
              <w:t>(para. 22.(b).(</w:t>
            </w:r>
            <w:proofErr w:type="spellStart"/>
            <w:r w:rsidRPr="00A72CA8">
              <w:rPr>
                <w:rFonts w:ascii="Arial" w:eastAsia="맑은 고딕" w:hAnsi="Arial" w:cs="Arial"/>
                <w:i/>
                <w:kern w:val="0"/>
                <w:sz w:val="18"/>
                <w:szCs w:val="20"/>
              </w:rPr>
              <w:t>i</w:t>
            </w:r>
            <w:proofErr w:type="spellEnd"/>
            <w:r w:rsidRPr="00A72CA8">
              <w:rPr>
                <w:rFonts w:ascii="Arial" w:eastAsia="맑은 고딕" w:hAnsi="Arial" w:cs="Arial"/>
                <w:i/>
                <w:kern w:val="0"/>
                <w:sz w:val="18"/>
                <w:szCs w:val="20"/>
              </w:rPr>
              <w:t>))</w:t>
            </w:r>
          </w:p>
        </w:tc>
        <w:tc>
          <w:tcPr>
            <w:tcW w:w="3209" w:type="dxa"/>
          </w:tcPr>
          <w:p w14:paraId="785BEE32"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0EE5B9A1" w14:textId="77777777" w:rsidTr="00F42988">
        <w:trPr>
          <w:trHeight w:val="159"/>
        </w:trPr>
        <w:tc>
          <w:tcPr>
            <w:tcW w:w="5807" w:type="dxa"/>
            <w:vAlign w:val="center"/>
          </w:tcPr>
          <w:p w14:paraId="775FA09C" w14:textId="3610E272"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Through robust, transparent governance and the quality of mitigation outcomes, including through conservative reference levels, baselines set in a conservative way and below ‘business as usual’ emission projections (including by taking into account all existing policies and addressing uncertainties in quantification and potential leakage) </w:t>
            </w:r>
            <w:r w:rsidRPr="00A72CA8">
              <w:rPr>
                <w:rFonts w:ascii="Arial" w:eastAsia="맑은 고딕" w:hAnsi="Arial" w:cs="Arial"/>
                <w:i/>
                <w:kern w:val="0"/>
                <w:sz w:val="18"/>
                <w:szCs w:val="20"/>
              </w:rPr>
              <w:t>(para. 22.(b).(ii))</w:t>
            </w:r>
          </w:p>
        </w:tc>
        <w:tc>
          <w:tcPr>
            <w:tcW w:w="3209" w:type="dxa"/>
          </w:tcPr>
          <w:p w14:paraId="2AA173D7"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0C9868CB" w14:textId="77777777" w:rsidTr="00F42988">
        <w:trPr>
          <w:trHeight w:val="159"/>
        </w:trPr>
        <w:tc>
          <w:tcPr>
            <w:tcW w:w="5807" w:type="dxa"/>
            <w:vAlign w:val="center"/>
          </w:tcPr>
          <w:p w14:paraId="40923544" w14:textId="40CC05BB"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By minimizing the risk of non-permanence of mitigation across several NDC periods and when reversals of emission removals occur, ensuring that these are addressed in full </w:t>
            </w:r>
            <w:r w:rsidRPr="00A72CA8">
              <w:rPr>
                <w:rFonts w:ascii="Arial" w:eastAsia="맑은 고딕" w:hAnsi="Arial" w:cs="Arial"/>
                <w:i/>
                <w:kern w:val="0"/>
                <w:sz w:val="18"/>
                <w:szCs w:val="20"/>
              </w:rPr>
              <w:t>(para. 22.(b).(iii))</w:t>
            </w:r>
          </w:p>
        </w:tc>
        <w:tc>
          <w:tcPr>
            <w:tcW w:w="3209" w:type="dxa"/>
          </w:tcPr>
          <w:p w14:paraId="44124972"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3300A2A2" w14:textId="77777777" w:rsidTr="00F42988">
        <w:trPr>
          <w:trHeight w:val="159"/>
        </w:trPr>
        <w:tc>
          <w:tcPr>
            <w:tcW w:w="5807" w:type="dxa"/>
            <w:vAlign w:val="center"/>
          </w:tcPr>
          <w:p w14:paraId="7CC449C8" w14:textId="6E04BA5C"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Where a mitigation outcome is measured and transferred in t CO2 </w:t>
            </w:r>
            <w:proofErr w:type="spellStart"/>
            <w:r w:rsidRPr="00A72CA8">
              <w:rPr>
                <w:rFonts w:ascii="Arial" w:eastAsia="맑은 고딕" w:hAnsi="Arial" w:cs="Arial"/>
                <w:kern w:val="0"/>
                <w:sz w:val="18"/>
                <w:szCs w:val="20"/>
              </w:rPr>
              <w:t>eq</w:t>
            </w:r>
            <w:proofErr w:type="spellEnd"/>
            <w:r w:rsidRPr="00A72CA8">
              <w:rPr>
                <w:rFonts w:ascii="Arial" w:eastAsia="맑은 고딕" w:hAnsi="Arial" w:cs="Arial"/>
                <w:kern w:val="0"/>
                <w:sz w:val="18"/>
                <w:szCs w:val="20"/>
              </w:rPr>
              <w:t xml:space="preserve">, provides for the measurement of mitigation outcomes in accordance with the methodologies and metrics assessed by the Intergovernmental Panel on Climate Change and adopted by the CMA </w:t>
            </w:r>
            <w:r w:rsidRPr="00A72CA8">
              <w:rPr>
                <w:rFonts w:ascii="Arial" w:eastAsia="맑은 고딕" w:hAnsi="Arial" w:cs="Arial"/>
                <w:i/>
                <w:kern w:val="0"/>
                <w:sz w:val="18"/>
                <w:szCs w:val="20"/>
              </w:rPr>
              <w:t>(para. 22.(c))</w:t>
            </w:r>
          </w:p>
        </w:tc>
        <w:tc>
          <w:tcPr>
            <w:tcW w:w="3209" w:type="dxa"/>
          </w:tcPr>
          <w:p w14:paraId="114F8727"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05F96B91" w14:textId="77777777" w:rsidTr="00F42988">
        <w:trPr>
          <w:trHeight w:val="159"/>
        </w:trPr>
        <w:tc>
          <w:tcPr>
            <w:tcW w:w="5807" w:type="dxa"/>
            <w:vAlign w:val="center"/>
          </w:tcPr>
          <w:p w14:paraId="3EECD1F5" w14:textId="466E5D0C"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i/>
                <w:iCs/>
                <w:kern w:val="0"/>
                <w:sz w:val="18"/>
                <w:szCs w:val="20"/>
              </w:rPr>
              <w:t xml:space="preserve">Where a mitigation outcome is measured and first transferred in a non-GHG metric determined by the participating Parties, ensures that the method for converting the non-GHG metric into t CO2 </w:t>
            </w:r>
            <w:proofErr w:type="spellStart"/>
            <w:r w:rsidRPr="00A72CA8">
              <w:rPr>
                <w:rFonts w:ascii="Arial" w:eastAsia="맑은 고딕" w:hAnsi="Arial" w:cs="Arial"/>
                <w:i/>
                <w:iCs/>
                <w:kern w:val="0"/>
                <w:sz w:val="18"/>
                <w:szCs w:val="20"/>
              </w:rPr>
              <w:t>eq</w:t>
            </w:r>
            <w:proofErr w:type="spellEnd"/>
            <w:r w:rsidRPr="00A72CA8">
              <w:rPr>
                <w:rFonts w:ascii="Arial" w:eastAsia="맑은 고딕" w:hAnsi="Arial" w:cs="Arial"/>
                <w:i/>
                <w:iCs/>
                <w:kern w:val="0"/>
                <w:sz w:val="18"/>
                <w:szCs w:val="20"/>
              </w:rPr>
              <w:t xml:space="preserve"> is appropriate for the specific non-GHG metric and the mitigation scenario in which it is applied, including how the conversion method:</w:t>
            </w:r>
          </w:p>
        </w:tc>
        <w:tc>
          <w:tcPr>
            <w:tcW w:w="3209" w:type="dxa"/>
          </w:tcPr>
          <w:p w14:paraId="1E3F85B6"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132FB5FF" w14:textId="77777777" w:rsidTr="00F42988">
        <w:trPr>
          <w:trHeight w:val="159"/>
        </w:trPr>
        <w:tc>
          <w:tcPr>
            <w:tcW w:w="5807" w:type="dxa"/>
            <w:vAlign w:val="center"/>
          </w:tcPr>
          <w:p w14:paraId="0226D4FF" w14:textId="12F4787E"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Represents the emission reductions or removals that occur within the geographical boundaries and time frame in which the non-GHG mitigation outcome was generated </w:t>
            </w:r>
            <w:r w:rsidRPr="00A72CA8">
              <w:rPr>
                <w:rFonts w:ascii="Arial" w:eastAsia="맑은 고딕" w:hAnsi="Arial" w:cs="Arial"/>
                <w:i/>
                <w:kern w:val="0"/>
                <w:sz w:val="18"/>
                <w:szCs w:val="20"/>
              </w:rPr>
              <w:t>(para. 22.(d).(</w:t>
            </w:r>
            <w:proofErr w:type="spellStart"/>
            <w:r w:rsidRPr="00A72CA8">
              <w:rPr>
                <w:rFonts w:ascii="Arial" w:eastAsia="맑은 고딕" w:hAnsi="Arial" w:cs="Arial"/>
                <w:i/>
                <w:kern w:val="0"/>
                <w:sz w:val="18"/>
                <w:szCs w:val="20"/>
              </w:rPr>
              <w:t>i</w:t>
            </w:r>
            <w:proofErr w:type="spellEnd"/>
            <w:r w:rsidRPr="00A72CA8">
              <w:rPr>
                <w:rFonts w:ascii="Arial" w:eastAsia="맑은 고딕" w:hAnsi="Arial" w:cs="Arial"/>
                <w:i/>
                <w:kern w:val="0"/>
                <w:sz w:val="18"/>
                <w:szCs w:val="20"/>
              </w:rPr>
              <w:t>))</w:t>
            </w:r>
          </w:p>
        </w:tc>
        <w:tc>
          <w:tcPr>
            <w:tcW w:w="3209" w:type="dxa"/>
          </w:tcPr>
          <w:p w14:paraId="26C5F409"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0A10B136" w14:textId="77777777" w:rsidTr="00F42988">
        <w:trPr>
          <w:trHeight w:val="159"/>
        </w:trPr>
        <w:tc>
          <w:tcPr>
            <w:tcW w:w="5807" w:type="dxa"/>
            <w:vAlign w:val="center"/>
          </w:tcPr>
          <w:p w14:paraId="03FF5255" w14:textId="47BF392A"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Is appropriate for the specific non-CO2 </w:t>
            </w:r>
            <w:proofErr w:type="spellStart"/>
            <w:r w:rsidRPr="00A72CA8">
              <w:rPr>
                <w:rFonts w:ascii="Arial" w:eastAsia="맑은 고딕" w:hAnsi="Arial" w:cs="Arial"/>
                <w:kern w:val="0"/>
                <w:sz w:val="18"/>
                <w:szCs w:val="20"/>
              </w:rPr>
              <w:t>eq</w:t>
            </w:r>
            <w:proofErr w:type="spellEnd"/>
            <w:r w:rsidRPr="00A72CA8">
              <w:rPr>
                <w:rFonts w:ascii="Arial" w:eastAsia="맑은 고딕" w:hAnsi="Arial" w:cs="Arial"/>
                <w:kern w:val="0"/>
                <w:sz w:val="18"/>
                <w:szCs w:val="20"/>
              </w:rPr>
              <w:t xml:space="preserve"> metric, including a demonstration of how the selection of the conversion method and conversion factor(s) applied take into consideration the specific scenario in which the mitigation action occurs </w:t>
            </w:r>
            <w:r w:rsidRPr="00A72CA8">
              <w:rPr>
                <w:rFonts w:ascii="Arial" w:eastAsia="맑은 고딕" w:hAnsi="Arial" w:cs="Arial"/>
                <w:i/>
                <w:kern w:val="0"/>
                <w:sz w:val="18"/>
                <w:szCs w:val="20"/>
              </w:rPr>
              <w:t>(para. 22.(d).(ii))</w:t>
            </w:r>
          </w:p>
        </w:tc>
        <w:tc>
          <w:tcPr>
            <w:tcW w:w="3209" w:type="dxa"/>
          </w:tcPr>
          <w:p w14:paraId="75063448"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4A645993" w14:textId="77777777" w:rsidTr="00F42988">
        <w:trPr>
          <w:trHeight w:val="159"/>
        </w:trPr>
        <w:tc>
          <w:tcPr>
            <w:tcW w:w="5807" w:type="dxa"/>
            <w:vAlign w:val="center"/>
          </w:tcPr>
          <w:p w14:paraId="02DBC8A7" w14:textId="0E00CD5D"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Is transparent, including a description of the method, the source of the underlying data, how the data are used, and how the method is applied in a conservative manner that addresses uncertainty and ensures environmental integrity </w:t>
            </w:r>
            <w:r w:rsidRPr="00A72CA8">
              <w:rPr>
                <w:rFonts w:ascii="Arial" w:eastAsia="맑은 고딕" w:hAnsi="Arial" w:cs="Arial"/>
                <w:i/>
                <w:kern w:val="0"/>
                <w:sz w:val="18"/>
                <w:szCs w:val="20"/>
              </w:rPr>
              <w:t>(para. 22.(d).(iii))</w:t>
            </w:r>
          </w:p>
        </w:tc>
        <w:tc>
          <w:tcPr>
            <w:tcW w:w="3209" w:type="dxa"/>
          </w:tcPr>
          <w:p w14:paraId="44AD60B8"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2E03D812" w14:textId="77777777" w:rsidTr="00F42988">
        <w:trPr>
          <w:trHeight w:val="159"/>
        </w:trPr>
        <w:tc>
          <w:tcPr>
            <w:tcW w:w="5807" w:type="dxa"/>
            <w:vAlign w:val="center"/>
          </w:tcPr>
          <w:p w14:paraId="60248FE6" w14:textId="4FD318BD"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Provides for, as applicable, the measurement of mitigation co-benefits resulting from adaptation actions and/or economic diversification plans </w:t>
            </w:r>
            <w:r w:rsidRPr="00A72CA8">
              <w:rPr>
                <w:rFonts w:ascii="Arial" w:eastAsia="맑은 고딕" w:hAnsi="Arial" w:cs="Arial"/>
                <w:i/>
                <w:kern w:val="0"/>
                <w:sz w:val="18"/>
                <w:szCs w:val="20"/>
              </w:rPr>
              <w:t>(para. 22.(e))</w:t>
            </w:r>
          </w:p>
        </w:tc>
        <w:tc>
          <w:tcPr>
            <w:tcW w:w="3209" w:type="dxa"/>
          </w:tcPr>
          <w:p w14:paraId="75B14DD5"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04F9068F" w14:textId="77777777" w:rsidTr="00F42988">
        <w:trPr>
          <w:trHeight w:val="159"/>
        </w:trPr>
        <w:tc>
          <w:tcPr>
            <w:tcW w:w="5807" w:type="dxa"/>
            <w:vAlign w:val="center"/>
          </w:tcPr>
          <w:p w14:paraId="60C0DEE7" w14:textId="7068EE16"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Minimizes and where possible avoids negative, environmental, economic and social impacts </w:t>
            </w:r>
            <w:r w:rsidRPr="00A72CA8">
              <w:rPr>
                <w:rFonts w:ascii="Arial" w:eastAsia="맑은 고딕" w:hAnsi="Arial" w:cs="Arial"/>
                <w:i/>
                <w:kern w:val="0"/>
                <w:sz w:val="18"/>
                <w:szCs w:val="20"/>
              </w:rPr>
              <w:t>(para. 22.(f))</w:t>
            </w:r>
          </w:p>
        </w:tc>
        <w:tc>
          <w:tcPr>
            <w:tcW w:w="3209" w:type="dxa"/>
          </w:tcPr>
          <w:p w14:paraId="62342194"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351E6C07" w14:textId="77777777" w:rsidTr="00F42988">
        <w:trPr>
          <w:trHeight w:val="159"/>
        </w:trPr>
        <w:tc>
          <w:tcPr>
            <w:tcW w:w="5807" w:type="dxa"/>
            <w:vAlign w:val="center"/>
          </w:tcPr>
          <w:p w14:paraId="0B6E172B" w14:textId="0482C39F"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Reflects the eleventh </w:t>
            </w:r>
            <w:proofErr w:type="spellStart"/>
            <w:r w:rsidRPr="00A72CA8">
              <w:rPr>
                <w:rFonts w:ascii="Arial" w:eastAsia="맑은 고딕" w:hAnsi="Arial" w:cs="Arial"/>
                <w:kern w:val="0"/>
                <w:sz w:val="18"/>
                <w:szCs w:val="20"/>
              </w:rPr>
              <w:t>preambular</w:t>
            </w:r>
            <w:proofErr w:type="spellEnd"/>
            <w:r w:rsidRPr="00A72CA8">
              <w:rPr>
                <w:rFonts w:ascii="Arial" w:eastAsia="맑은 고딕" w:hAnsi="Arial" w:cs="Arial"/>
                <w:kern w:val="0"/>
                <w:sz w:val="18"/>
                <w:szCs w:val="20"/>
              </w:rPr>
              <w:t xml:space="preserve"> paragraph of the Paris Agreement </w:t>
            </w:r>
            <w:r w:rsidRPr="00A72CA8">
              <w:rPr>
                <w:rFonts w:ascii="Arial" w:eastAsia="맑은 고딕" w:hAnsi="Arial" w:cs="Arial"/>
                <w:i/>
                <w:kern w:val="0"/>
                <w:sz w:val="18"/>
                <w:szCs w:val="20"/>
              </w:rPr>
              <w:t>(para. 22.(g))</w:t>
            </w:r>
          </w:p>
        </w:tc>
        <w:tc>
          <w:tcPr>
            <w:tcW w:w="3209" w:type="dxa"/>
          </w:tcPr>
          <w:p w14:paraId="197B9561"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3C78CAA9" w14:textId="77777777" w:rsidTr="00F42988">
        <w:trPr>
          <w:trHeight w:val="159"/>
        </w:trPr>
        <w:tc>
          <w:tcPr>
            <w:tcW w:w="5807" w:type="dxa"/>
            <w:vAlign w:val="center"/>
          </w:tcPr>
          <w:p w14:paraId="1CB95E3D" w14:textId="27976788"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Is consistent with and contributes to the sustainable development objectives of the Party, noting national prerogatives </w:t>
            </w:r>
            <w:r w:rsidRPr="00A72CA8">
              <w:rPr>
                <w:rFonts w:ascii="Arial" w:eastAsia="맑은 고딕" w:hAnsi="Arial" w:cs="Arial"/>
                <w:i/>
                <w:kern w:val="0"/>
                <w:sz w:val="18"/>
                <w:szCs w:val="20"/>
              </w:rPr>
              <w:t>(para. 22.(h))</w:t>
            </w:r>
          </w:p>
        </w:tc>
        <w:tc>
          <w:tcPr>
            <w:tcW w:w="3209" w:type="dxa"/>
          </w:tcPr>
          <w:p w14:paraId="0E610E93"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72F6F1DB" w14:textId="77777777" w:rsidTr="00F42988">
        <w:trPr>
          <w:trHeight w:val="159"/>
        </w:trPr>
        <w:tc>
          <w:tcPr>
            <w:tcW w:w="5807" w:type="dxa"/>
            <w:vAlign w:val="center"/>
          </w:tcPr>
          <w:p w14:paraId="62640C01" w14:textId="766B8BCB"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Applies any safeguards and limits set out in further guidance from the CMA pursuant to chapter III.D (Safeguards and limits to the transfer and use of internationally transferred mitigation outcomes) </w:t>
            </w:r>
            <w:r w:rsidRPr="00A72CA8">
              <w:rPr>
                <w:rFonts w:ascii="Arial" w:eastAsia="맑은 고딕" w:hAnsi="Arial" w:cs="Arial"/>
                <w:i/>
                <w:kern w:val="0"/>
                <w:sz w:val="18"/>
                <w:szCs w:val="20"/>
              </w:rPr>
              <w:t>(para. 22.(</w:t>
            </w:r>
            <w:proofErr w:type="spellStart"/>
            <w:r w:rsidRPr="00A72CA8">
              <w:rPr>
                <w:rFonts w:ascii="Arial" w:eastAsia="맑은 고딕" w:hAnsi="Arial" w:cs="Arial"/>
                <w:i/>
                <w:kern w:val="0"/>
                <w:sz w:val="18"/>
                <w:szCs w:val="20"/>
              </w:rPr>
              <w:t>i</w:t>
            </w:r>
            <w:proofErr w:type="spellEnd"/>
            <w:r w:rsidRPr="00A72CA8">
              <w:rPr>
                <w:rFonts w:ascii="Arial" w:eastAsia="맑은 고딕" w:hAnsi="Arial" w:cs="Arial"/>
                <w:i/>
                <w:kern w:val="0"/>
                <w:sz w:val="18"/>
                <w:szCs w:val="20"/>
              </w:rPr>
              <w:t>))</w:t>
            </w:r>
          </w:p>
        </w:tc>
        <w:tc>
          <w:tcPr>
            <w:tcW w:w="3209" w:type="dxa"/>
          </w:tcPr>
          <w:p w14:paraId="332D7BE6"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28563319" w14:textId="77777777" w:rsidTr="00F42988">
        <w:trPr>
          <w:trHeight w:val="159"/>
        </w:trPr>
        <w:tc>
          <w:tcPr>
            <w:tcW w:w="5807" w:type="dxa"/>
            <w:vAlign w:val="center"/>
          </w:tcPr>
          <w:p w14:paraId="1E3F6513" w14:textId="16DEDE37"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Contributes resources for adaptation pursuant to chapter VII (Ambition in mitigation and adaptation actions), if applicable </w:t>
            </w:r>
            <w:r w:rsidRPr="00A72CA8">
              <w:rPr>
                <w:rFonts w:ascii="Arial" w:eastAsia="맑은 고딕" w:hAnsi="Arial" w:cs="Arial"/>
                <w:i/>
                <w:kern w:val="0"/>
                <w:sz w:val="18"/>
                <w:szCs w:val="20"/>
              </w:rPr>
              <w:t>(para. 22.(j))</w:t>
            </w:r>
          </w:p>
        </w:tc>
        <w:tc>
          <w:tcPr>
            <w:tcW w:w="3209" w:type="dxa"/>
          </w:tcPr>
          <w:p w14:paraId="0115471F" w14:textId="77777777" w:rsidR="00A72CA8" w:rsidRPr="003154DF" w:rsidRDefault="00A72CA8" w:rsidP="00A72CA8">
            <w:pPr>
              <w:widowControl/>
              <w:wordWrap/>
              <w:autoSpaceDE/>
              <w:autoSpaceDN/>
              <w:rPr>
                <w:rFonts w:ascii="Arial" w:hAnsi="Arial" w:cs="Arial"/>
                <w:b/>
                <w:bCs/>
                <w:sz w:val="18"/>
                <w:szCs w:val="20"/>
                <w:lang w:val="en-GB"/>
              </w:rPr>
            </w:pPr>
          </w:p>
        </w:tc>
      </w:tr>
      <w:tr w:rsidR="00A72CA8" w:rsidRPr="003154DF" w14:paraId="338FEE53" w14:textId="77777777" w:rsidTr="00F42988">
        <w:trPr>
          <w:trHeight w:val="159"/>
        </w:trPr>
        <w:tc>
          <w:tcPr>
            <w:tcW w:w="5807" w:type="dxa"/>
            <w:vAlign w:val="center"/>
          </w:tcPr>
          <w:p w14:paraId="08863946" w14:textId="7EFF9402" w:rsidR="00A72CA8" w:rsidRPr="00A72CA8" w:rsidRDefault="00A72CA8" w:rsidP="00A72CA8">
            <w:pPr>
              <w:widowControl/>
              <w:wordWrap/>
              <w:autoSpaceDE/>
              <w:autoSpaceDN/>
              <w:rPr>
                <w:rFonts w:ascii="Arial" w:hAnsi="Arial" w:cs="Arial"/>
                <w:b/>
                <w:bCs/>
                <w:sz w:val="18"/>
                <w:szCs w:val="20"/>
                <w:lang w:val="en-GB"/>
              </w:rPr>
            </w:pPr>
            <w:r w:rsidRPr="00A72CA8">
              <w:rPr>
                <w:rFonts w:ascii="Arial" w:eastAsia="맑은 고딕" w:hAnsi="Arial" w:cs="Arial"/>
                <w:kern w:val="0"/>
                <w:sz w:val="18"/>
                <w:szCs w:val="20"/>
              </w:rPr>
              <w:t xml:space="preserve">Delivers overall mitigation in global emissions pursuant to chapter VII (Ambition in mitigation and adaptation actions), if applicable </w:t>
            </w:r>
            <w:r w:rsidRPr="00A72CA8">
              <w:rPr>
                <w:rFonts w:ascii="Arial" w:eastAsia="맑은 고딕" w:hAnsi="Arial" w:cs="Arial"/>
                <w:i/>
                <w:kern w:val="0"/>
                <w:sz w:val="18"/>
                <w:szCs w:val="20"/>
              </w:rPr>
              <w:t>(para. 22.(k))</w:t>
            </w:r>
          </w:p>
        </w:tc>
        <w:tc>
          <w:tcPr>
            <w:tcW w:w="3209" w:type="dxa"/>
          </w:tcPr>
          <w:p w14:paraId="204FE1A3" w14:textId="77777777" w:rsidR="00A72CA8" w:rsidRPr="003154DF" w:rsidRDefault="00A72CA8" w:rsidP="00A72CA8">
            <w:pPr>
              <w:widowControl/>
              <w:wordWrap/>
              <w:autoSpaceDE/>
              <w:autoSpaceDN/>
              <w:rPr>
                <w:rFonts w:ascii="Arial" w:hAnsi="Arial" w:cs="Arial"/>
                <w:b/>
                <w:bCs/>
                <w:sz w:val="18"/>
                <w:szCs w:val="20"/>
                <w:lang w:val="en-GB"/>
              </w:rPr>
            </w:pPr>
          </w:p>
        </w:tc>
      </w:tr>
    </w:tbl>
    <w:p w14:paraId="3EA1A611" w14:textId="77777777" w:rsidR="009B0A65" w:rsidRDefault="009B0A65" w:rsidP="002758A5">
      <w:pPr>
        <w:widowControl/>
        <w:wordWrap/>
        <w:autoSpaceDE/>
        <w:autoSpaceDN/>
        <w:rPr>
          <w:rFonts w:ascii="Arial" w:hAnsi="Arial" w:cs="Arial"/>
          <w:sz w:val="20"/>
          <w:szCs w:val="20"/>
          <w:lang w:val="en-GB"/>
        </w:rPr>
      </w:pPr>
    </w:p>
    <w:p w14:paraId="77D1E437" w14:textId="2492696E" w:rsidR="001B0843" w:rsidRDefault="001B0843" w:rsidP="001B0843">
      <w:pPr>
        <w:pStyle w:val="af1"/>
        <w:keepNext/>
      </w:pPr>
      <w:r>
        <w:lastRenderedPageBreak/>
        <w:t xml:space="preserve">Box </w:t>
      </w:r>
      <w:r w:rsidR="00D52B5E">
        <w:fldChar w:fldCharType="begin"/>
      </w:r>
      <w:r w:rsidR="00D52B5E">
        <w:instrText xml:space="preserve"> SEQ Box \* ARABIC </w:instrText>
      </w:r>
      <w:r w:rsidR="00D52B5E">
        <w:fldChar w:fldCharType="separate"/>
      </w:r>
      <w:r w:rsidR="001C42EC">
        <w:rPr>
          <w:noProof/>
        </w:rPr>
        <w:t>2</w:t>
      </w:r>
      <w:r w:rsidR="00D52B5E">
        <w:rPr>
          <w:noProof/>
        </w:rPr>
        <w:fldChar w:fldCharType="end"/>
      </w:r>
      <w:r>
        <w:t xml:space="preserve">. </w:t>
      </w:r>
      <w:r w:rsidRPr="00D9208E">
        <w:t xml:space="preserve">Outline of the </w:t>
      </w:r>
      <w:r>
        <w:t>regular information p</w:t>
      </w:r>
      <w:r w:rsidRPr="00D9208E">
        <w:t>roposed by the ROK</w:t>
      </w:r>
    </w:p>
    <w:tbl>
      <w:tblPr>
        <w:tblStyle w:val="ac"/>
        <w:tblW w:w="0" w:type="auto"/>
        <w:tblLook w:val="04A0" w:firstRow="1" w:lastRow="0" w:firstColumn="1" w:lastColumn="0" w:noHBand="0" w:noVBand="1"/>
      </w:tblPr>
      <w:tblGrid>
        <w:gridCol w:w="9016"/>
      </w:tblGrid>
      <w:tr w:rsidR="001B0843" w14:paraId="4772D4DF" w14:textId="77777777" w:rsidTr="00F42988">
        <w:tc>
          <w:tcPr>
            <w:tcW w:w="9016" w:type="dxa"/>
          </w:tcPr>
          <w:p w14:paraId="0B2A5B5F" w14:textId="77777777" w:rsidR="001B0843" w:rsidRPr="008D416C" w:rsidRDefault="001B0843" w:rsidP="00F42988">
            <w:pPr>
              <w:pStyle w:val="aa"/>
              <w:rPr>
                <w:rFonts w:ascii="Arial" w:eastAsia="휴먼명조" w:hAnsi="Arial" w:cs="Arial"/>
                <w:b/>
                <w:color w:val="auto"/>
                <w:sz w:val="20"/>
                <w:szCs w:val="20"/>
              </w:rPr>
            </w:pPr>
            <w:r w:rsidRPr="008D416C">
              <w:rPr>
                <w:rFonts w:ascii="Arial" w:eastAsia="휴먼명조" w:hAnsi="Arial" w:cs="Arial"/>
                <w:b/>
                <w:color w:val="auto"/>
                <w:sz w:val="20"/>
                <w:szCs w:val="20"/>
              </w:rPr>
              <w:t>1. Introduction</w:t>
            </w:r>
          </w:p>
          <w:p w14:paraId="758EF232" w14:textId="77777777" w:rsidR="001B0843" w:rsidRPr="008D416C" w:rsidRDefault="001B0843" w:rsidP="00F42988">
            <w:pPr>
              <w:pStyle w:val="aa"/>
              <w:rPr>
                <w:rFonts w:ascii="Arial" w:eastAsia="휴먼명조" w:hAnsi="Arial" w:cs="Arial"/>
                <w:color w:val="auto"/>
                <w:sz w:val="20"/>
                <w:szCs w:val="20"/>
              </w:rPr>
            </w:pPr>
          </w:p>
          <w:p w14:paraId="07EE4DC5" w14:textId="77777777" w:rsidR="001B0843" w:rsidRPr="008D416C" w:rsidRDefault="001B0843" w:rsidP="00F42988">
            <w:pPr>
              <w:pStyle w:val="aa"/>
              <w:rPr>
                <w:rFonts w:ascii="Arial" w:hAnsi="Arial" w:cs="Arial"/>
                <w:b/>
                <w:i/>
                <w:color w:val="auto"/>
                <w:sz w:val="20"/>
                <w:szCs w:val="20"/>
              </w:rPr>
            </w:pPr>
            <w:r w:rsidRPr="008D416C">
              <w:rPr>
                <w:rFonts w:ascii="Arial" w:eastAsia="휴먼명조" w:hAnsi="Arial" w:cs="Arial"/>
                <w:b/>
                <w:color w:val="auto"/>
                <w:sz w:val="20"/>
                <w:szCs w:val="20"/>
              </w:rPr>
              <w:t xml:space="preserve">2.  Information in relation to the Party’s participation in cooperative approaches </w:t>
            </w:r>
            <w:r w:rsidRPr="00FB52BB">
              <w:rPr>
                <w:rFonts w:ascii="Times New Roman" w:eastAsia="휴먼명조" w:hAnsi="Times New Roman" w:cs="Times New Roman"/>
                <w:b/>
                <w:i/>
                <w:color w:val="auto"/>
                <w:sz w:val="20"/>
                <w:szCs w:val="20"/>
                <w:highlight w:val="cyan"/>
              </w:rPr>
              <w:t>(para. 21)</w:t>
            </w:r>
          </w:p>
          <w:p w14:paraId="5C2A3DBB" w14:textId="77777777" w:rsidR="001B0843" w:rsidRDefault="001B0843" w:rsidP="00F42988">
            <w:pPr>
              <w:pStyle w:val="aa"/>
              <w:ind w:firstLineChars="100" w:firstLine="2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2.1. Fulfillment of the participation responsibilities as per para. 4(a) – (f) of the 6.2 guidance </w:t>
            </w:r>
            <w:r w:rsidRPr="00FB52BB">
              <w:rPr>
                <w:rFonts w:ascii="Times New Roman" w:eastAsia="휴먼명조" w:hAnsi="Times New Roman" w:cs="Times New Roman"/>
                <w:i/>
                <w:color w:val="auto"/>
                <w:sz w:val="20"/>
                <w:szCs w:val="20"/>
                <w:highlight w:val="cyan"/>
              </w:rPr>
              <w:t>(para. 21.(a))</w:t>
            </w:r>
          </w:p>
          <w:p w14:paraId="5FAAAD72" w14:textId="77777777" w:rsidR="001B0843" w:rsidRPr="00D77A02" w:rsidRDefault="001B0843" w:rsidP="00F42988">
            <w:pPr>
              <w:pStyle w:val="aa"/>
              <w:ind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2.2. Updates to the information provided in: </w:t>
            </w:r>
            <w:r w:rsidRPr="00D77A02">
              <w:rPr>
                <w:rFonts w:ascii="Times New Roman" w:eastAsia="휴먼명조" w:hAnsi="Times New Roman" w:cs="Times New Roman"/>
                <w:i/>
                <w:color w:val="auto"/>
                <w:sz w:val="20"/>
                <w:szCs w:val="20"/>
                <w:highlight w:val="cyan"/>
              </w:rPr>
              <w:t>(para. 21.(b))</w:t>
            </w:r>
          </w:p>
          <w:p w14:paraId="31CCD43E" w14:textId="77777777" w:rsidR="001B0843" w:rsidRDefault="001B0843" w:rsidP="00F42988">
            <w:pPr>
              <w:pStyle w:val="aa"/>
              <w:ind w:firstLineChars="200" w:firstLine="400"/>
              <w:rPr>
                <w:rFonts w:ascii="Arial" w:eastAsia="휴먼명조" w:hAnsi="Arial" w:cs="Arial"/>
                <w:color w:val="auto"/>
                <w:sz w:val="20"/>
                <w:szCs w:val="20"/>
              </w:rPr>
            </w:pPr>
            <w:r w:rsidRPr="00AB7159">
              <w:rPr>
                <w:rFonts w:ascii="Arial" w:eastAsia="휴먼명조" w:hAnsi="Arial" w:cs="Arial"/>
                <w:color w:val="auto"/>
                <w:sz w:val="20"/>
                <w:szCs w:val="20"/>
              </w:rPr>
              <w:t>2.2.1. The Initial report</w:t>
            </w:r>
          </w:p>
          <w:p w14:paraId="74E50D4F" w14:textId="77777777" w:rsidR="001B0843" w:rsidRDefault="001B0843" w:rsidP="00F42988">
            <w:pPr>
              <w:pStyle w:val="aa"/>
              <w:ind w:firstLineChars="200" w:firstLine="400"/>
              <w:rPr>
                <w:rFonts w:ascii="Arial" w:eastAsia="휴먼명조" w:hAnsi="Arial" w:cs="Arial"/>
                <w:color w:val="auto"/>
                <w:sz w:val="20"/>
                <w:szCs w:val="20"/>
              </w:rPr>
            </w:pPr>
            <w:r w:rsidRPr="00AB7159">
              <w:rPr>
                <w:rFonts w:ascii="Arial" w:eastAsia="휴먼명조" w:hAnsi="Arial" w:cs="Arial"/>
                <w:color w:val="auto"/>
                <w:sz w:val="20"/>
                <w:szCs w:val="20"/>
              </w:rPr>
              <w:t>2.2.2. BTRs, in relation to paragraph 64 of the annex to decision 18/CMA.1</w:t>
            </w:r>
          </w:p>
          <w:p w14:paraId="2E475F2E" w14:textId="77777777" w:rsidR="001B0843" w:rsidRPr="00AB7159" w:rsidRDefault="001B0843" w:rsidP="00F42988">
            <w:pPr>
              <w:pStyle w:val="aa"/>
              <w:ind w:firstLineChars="100" w:firstLine="200"/>
              <w:rPr>
                <w:rFonts w:ascii="Arial" w:hAnsi="Arial" w:cs="Arial"/>
                <w:color w:val="auto"/>
                <w:sz w:val="20"/>
                <w:szCs w:val="20"/>
              </w:rPr>
            </w:pPr>
            <w:r w:rsidRPr="00AB7159">
              <w:rPr>
                <w:rFonts w:ascii="Arial" w:eastAsia="휴먼명조" w:hAnsi="Arial" w:cs="Arial"/>
                <w:color w:val="auto"/>
                <w:sz w:val="20"/>
                <w:szCs w:val="20"/>
              </w:rPr>
              <w:t xml:space="preserve">2.3. Authorizations, including information on: </w:t>
            </w:r>
            <w:r w:rsidRPr="00D444AB">
              <w:rPr>
                <w:rFonts w:ascii="Times New Roman" w:eastAsia="휴먼명조" w:hAnsi="Times New Roman" w:cs="Times New Roman"/>
                <w:i/>
                <w:color w:val="auto"/>
                <w:sz w:val="20"/>
                <w:szCs w:val="20"/>
                <w:highlight w:val="cyan"/>
              </w:rPr>
              <w:t>(para. 21.(c))</w:t>
            </w:r>
          </w:p>
          <w:p w14:paraId="031B2754" w14:textId="77777777" w:rsidR="001B0843" w:rsidRDefault="001B0843" w:rsidP="00F42988">
            <w:pPr>
              <w:pStyle w:val="aa"/>
              <w:ind w:firstLineChars="200" w:firstLine="400"/>
              <w:rPr>
                <w:rFonts w:ascii="Arial" w:eastAsia="휴먼명조" w:hAnsi="Arial" w:cs="Arial"/>
                <w:color w:val="auto"/>
                <w:sz w:val="20"/>
                <w:szCs w:val="20"/>
              </w:rPr>
            </w:pPr>
            <w:r w:rsidRPr="00AB7159">
              <w:rPr>
                <w:rFonts w:ascii="Arial" w:eastAsia="휴먼명조" w:hAnsi="Arial" w:cs="Arial"/>
                <w:color w:val="auto"/>
                <w:sz w:val="20"/>
                <w:szCs w:val="20"/>
              </w:rPr>
              <w:t>2.3.1. Authorizations of use of ITMO towards achievement of NDCs</w:t>
            </w:r>
          </w:p>
          <w:p w14:paraId="51CD1B63" w14:textId="77777777" w:rsidR="001B0843" w:rsidRDefault="001B0843" w:rsidP="00F42988">
            <w:pPr>
              <w:pStyle w:val="aa"/>
              <w:ind w:firstLineChars="200" w:firstLine="400"/>
              <w:rPr>
                <w:rFonts w:ascii="Arial" w:eastAsia="휴먼명조" w:hAnsi="Arial" w:cs="Arial"/>
                <w:color w:val="auto"/>
                <w:sz w:val="20"/>
                <w:szCs w:val="20"/>
              </w:rPr>
            </w:pPr>
            <w:r w:rsidRPr="00AB7159">
              <w:rPr>
                <w:rFonts w:ascii="Arial" w:eastAsia="휴먼명조" w:hAnsi="Arial" w:cs="Arial"/>
                <w:color w:val="auto"/>
                <w:sz w:val="20"/>
                <w:szCs w:val="20"/>
              </w:rPr>
              <w:t>2.3.2. Authorization for use for other international mitigation purposes</w:t>
            </w:r>
          </w:p>
          <w:p w14:paraId="37257735" w14:textId="77777777" w:rsidR="001B0843" w:rsidRPr="00D444AB" w:rsidRDefault="001B0843" w:rsidP="00F42988">
            <w:pPr>
              <w:pStyle w:val="aa"/>
              <w:ind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2.4. Information on corresponding adjustments, including detailed information on: </w:t>
            </w:r>
            <w:r w:rsidRPr="00D444AB">
              <w:rPr>
                <w:rFonts w:ascii="Times New Roman" w:eastAsia="휴먼명조" w:hAnsi="Times New Roman" w:cs="Times New Roman"/>
                <w:i/>
                <w:color w:val="auto"/>
                <w:sz w:val="20"/>
                <w:szCs w:val="20"/>
                <w:highlight w:val="cyan"/>
              </w:rPr>
              <w:t>(para. 21.(d))</w:t>
            </w:r>
          </w:p>
          <w:p w14:paraId="335AEC2B" w14:textId="77777777" w:rsidR="001B0843" w:rsidRDefault="001B0843" w:rsidP="00F42988">
            <w:pPr>
              <w:pStyle w:val="aa"/>
              <w:ind w:firstLineChars="200" w:firstLine="400"/>
              <w:rPr>
                <w:rFonts w:ascii="Arial" w:eastAsia="휴먼명조" w:hAnsi="Arial" w:cs="Arial"/>
                <w:color w:val="auto"/>
                <w:sz w:val="20"/>
                <w:szCs w:val="20"/>
              </w:rPr>
            </w:pPr>
            <w:r w:rsidRPr="00AB7159">
              <w:rPr>
                <w:rFonts w:ascii="Arial" w:eastAsia="휴먼명조" w:hAnsi="Arial" w:cs="Arial"/>
                <w:color w:val="auto"/>
                <w:sz w:val="20"/>
                <w:szCs w:val="20"/>
              </w:rPr>
              <w:t>2.4.1. Avoidance of double counting</w:t>
            </w:r>
          </w:p>
          <w:p w14:paraId="245AB3EA" w14:textId="77777777" w:rsidR="001B0843" w:rsidRDefault="001B0843" w:rsidP="00F42988">
            <w:pPr>
              <w:pStyle w:val="aa"/>
              <w:ind w:firstLineChars="200" w:firstLine="400"/>
              <w:rPr>
                <w:rFonts w:ascii="Arial" w:eastAsia="휴먼명조" w:hAnsi="Arial" w:cs="Arial"/>
                <w:color w:val="auto"/>
                <w:sz w:val="20"/>
                <w:szCs w:val="20"/>
              </w:rPr>
            </w:pPr>
            <w:r w:rsidRPr="00AB7159">
              <w:rPr>
                <w:rFonts w:ascii="Arial" w:eastAsia="휴먼명조" w:hAnsi="Arial" w:cs="Arial"/>
                <w:color w:val="auto"/>
                <w:sz w:val="20"/>
                <w:szCs w:val="20"/>
              </w:rPr>
              <w:t>2.4.2 Representativeness of progress towards implementation and achievement of its NDC</w:t>
            </w:r>
          </w:p>
          <w:p w14:paraId="15166B26" w14:textId="77777777" w:rsidR="001B0843" w:rsidRDefault="001B0843" w:rsidP="00F42988">
            <w:pPr>
              <w:pStyle w:val="aa"/>
              <w:ind w:firstLineChars="200" w:firstLine="400"/>
              <w:rPr>
                <w:rFonts w:ascii="Arial" w:eastAsia="휴먼명조" w:hAnsi="Arial" w:cs="Arial"/>
                <w:color w:val="auto"/>
                <w:sz w:val="20"/>
                <w:szCs w:val="20"/>
              </w:rPr>
            </w:pPr>
            <w:r w:rsidRPr="00AB7159">
              <w:rPr>
                <w:rFonts w:ascii="Arial" w:eastAsia="휴먼명조" w:hAnsi="Arial" w:cs="Arial"/>
                <w:color w:val="auto"/>
                <w:sz w:val="20"/>
                <w:szCs w:val="20"/>
              </w:rPr>
              <w:t>2.4.3. Avoidance of net increase in emissions across participating Parties within and between NDC implementation periods</w:t>
            </w:r>
          </w:p>
          <w:p w14:paraId="032431E8" w14:textId="77777777" w:rsidR="001B0843" w:rsidRPr="0040062E" w:rsidRDefault="001B0843" w:rsidP="00F42988">
            <w:pPr>
              <w:pStyle w:val="aa"/>
              <w:ind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2.5</w:t>
            </w:r>
            <w:proofErr w:type="gramStart"/>
            <w:r w:rsidRPr="00AB7159">
              <w:rPr>
                <w:rFonts w:ascii="Arial" w:eastAsia="휴먼명조" w:hAnsi="Arial" w:cs="Arial"/>
                <w:color w:val="auto"/>
                <w:sz w:val="20"/>
                <w:szCs w:val="20"/>
              </w:rPr>
              <w:t>.  Ensuring</w:t>
            </w:r>
            <w:proofErr w:type="gramEnd"/>
            <w:r w:rsidRPr="00AB7159">
              <w:rPr>
                <w:rFonts w:ascii="Arial" w:eastAsia="휴먼명조" w:hAnsi="Arial" w:cs="Arial"/>
                <w:color w:val="auto"/>
                <w:sz w:val="20"/>
                <w:szCs w:val="20"/>
              </w:rPr>
              <w:t xml:space="preserve"> of no further transfer, further cancellation or further use of ITMOs and mitigation outcome(s) </w:t>
            </w:r>
            <w:r w:rsidRPr="0040062E">
              <w:rPr>
                <w:rFonts w:ascii="Times New Roman" w:eastAsia="휴먼명조" w:hAnsi="Times New Roman" w:cs="Times New Roman"/>
                <w:i/>
                <w:color w:val="auto"/>
                <w:sz w:val="20"/>
                <w:szCs w:val="20"/>
                <w:highlight w:val="cyan"/>
              </w:rPr>
              <w:t>(para. 21.(e))</w:t>
            </w:r>
          </w:p>
          <w:p w14:paraId="6CD8C792" w14:textId="77777777" w:rsidR="001B0843" w:rsidRPr="00AB7159" w:rsidRDefault="001B0843" w:rsidP="00F42988">
            <w:pPr>
              <w:pStyle w:val="aa"/>
              <w:rPr>
                <w:rFonts w:ascii="Arial" w:hAnsi="Arial" w:cs="Arial"/>
                <w:color w:val="auto"/>
                <w:sz w:val="20"/>
                <w:szCs w:val="20"/>
              </w:rPr>
            </w:pPr>
          </w:p>
          <w:p w14:paraId="536D208D" w14:textId="77777777" w:rsidR="001B0843" w:rsidRPr="00293774" w:rsidRDefault="001B0843" w:rsidP="00F42988">
            <w:pPr>
              <w:pStyle w:val="aa"/>
              <w:rPr>
                <w:rFonts w:ascii="Arial" w:hAnsi="Arial" w:cs="Arial"/>
                <w:b/>
                <w:color w:val="auto"/>
                <w:sz w:val="20"/>
                <w:szCs w:val="20"/>
              </w:rPr>
            </w:pPr>
            <w:r w:rsidRPr="00293774">
              <w:rPr>
                <w:rFonts w:ascii="Arial" w:eastAsia="휴먼명조" w:hAnsi="Arial" w:cs="Arial"/>
                <w:b/>
                <w:color w:val="auto"/>
                <w:sz w:val="20"/>
                <w:szCs w:val="20"/>
              </w:rPr>
              <w:t xml:space="preserve">3. Further information on each cooperative approach, in terms of: </w:t>
            </w:r>
            <w:r w:rsidRPr="00293774">
              <w:rPr>
                <w:rFonts w:ascii="Times New Roman" w:eastAsia="휴먼명조" w:hAnsi="Times New Roman" w:cs="Times New Roman"/>
                <w:b/>
                <w:i/>
                <w:color w:val="auto"/>
                <w:sz w:val="20"/>
                <w:szCs w:val="20"/>
                <w:highlight w:val="cyan"/>
              </w:rPr>
              <w:t>(para. 22)</w:t>
            </w:r>
          </w:p>
          <w:p w14:paraId="1C86AC73" w14:textId="77777777" w:rsidR="001B0843" w:rsidRPr="00AB7159" w:rsidRDefault="001B0843" w:rsidP="00F42988">
            <w:pPr>
              <w:pStyle w:val="aa"/>
              <w:ind w:firstLineChars="100" w:firstLine="200"/>
              <w:rPr>
                <w:rFonts w:ascii="Arial" w:hAnsi="Arial" w:cs="Arial"/>
                <w:color w:val="auto"/>
                <w:sz w:val="20"/>
                <w:szCs w:val="20"/>
              </w:rPr>
            </w:pPr>
            <w:r w:rsidRPr="00AB7159">
              <w:rPr>
                <w:rFonts w:ascii="Arial" w:eastAsia="휴먼명조" w:hAnsi="Arial" w:cs="Arial"/>
                <w:color w:val="auto"/>
                <w:sz w:val="20"/>
                <w:szCs w:val="20"/>
              </w:rPr>
              <w:t>3.1</w:t>
            </w:r>
            <w:r>
              <w:rPr>
                <w:rFonts w:ascii="Arial" w:eastAsia="휴먼명조" w:hAnsi="Arial" w:cs="Arial"/>
                <w:color w:val="auto"/>
                <w:sz w:val="20"/>
                <w:szCs w:val="20"/>
              </w:rPr>
              <w:t>.</w:t>
            </w:r>
            <w:r w:rsidRPr="00AB7159">
              <w:rPr>
                <w:rFonts w:ascii="Arial" w:eastAsia="휴먼명조" w:hAnsi="Arial" w:cs="Arial"/>
                <w:color w:val="auto"/>
                <w:sz w:val="20"/>
                <w:szCs w:val="20"/>
              </w:rPr>
              <w:t xml:space="preserve"> Contribution to the mitigation of GHGs and the implementation of its NDC </w:t>
            </w:r>
            <w:r w:rsidRPr="0040062E">
              <w:rPr>
                <w:rFonts w:ascii="Times New Roman" w:eastAsia="휴먼명조" w:hAnsi="Times New Roman" w:cs="Times New Roman"/>
                <w:i/>
                <w:color w:val="auto"/>
                <w:sz w:val="20"/>
                <w:szCs w:val="20"/>
                <w:highlight w:val="cyan"/>
              </w:rPr>
              <w:t>(para. 22.(a))</w:t>
            </w:r>
          </w:p>
          <w:p w14:paraId="194B7208" w14:textId="77777777" w:rsidR="001B0843" w:rsidRPr="001E2461" w:rsidRDefault="001B0843" w:rsidP="00F42988">
            <w:pPr>
              <w:pStyle w:val="aa"/>
              <w:ind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3.2. Environmental integrity, including: </w:t>
            </w:r>
            <w:r w:rsidRPr="001E2461">
              <w:rPr>
                <w:rFonts w:ascii="Times New Roman" w:eastAsia="휴먼명조" w:hAnsi="Times New Roman" w:cs="Times New Roman"/>
                <w:i/>
                <w:color w:val="auto"/>
                <w:sz w:val="20"/>
                <w:szCs w:val="20"/>
                <w:highlight w:val="cyan"/>
              </w:rPr>
              <w:t>(para. 22.(b))</w:t>
            </w:r>
          </w:p>
          <w:p w14:paraId="7E62643C" w14:textId="77777777" w:rsidR="001B0843" w:rsidRDefault="001B0843" w:rsidP="00F42988">
            <w:pPr>
              <w:pStyle w:val="aa"/>
              <w:ind w:firstLineChars="200" w:firstLine="4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3.2.1. Avoidance of net increase in global emissions </w:t>
            </w:r>
            <w:r w:rsidRPr="001E2461">
              <w:rPr>
                <w:rFonts w:ascii="Times New Roman" w:eastAsia="휴먼명조" w:hAnsi="Times New Roman" w:cs="Times New Roman"/>
                <w:i/>
                <w:color w:val="auto"/>
                <w:sz w:val="20"/>
                <w:szCs w:val="20"/>
                <w:highlight w:val="cyan"/>
              </w:rPr>
              <w:t>(para. 22.(b).(</w:t>
            </w:r>
            <w:proofErr w:type="spellStart"/>
            <w:r w:rsidRPr="001E2461">
              <w:rPr>
                <w:rFonts w:ascii="Times New Roman" w:eastAsia="휴먼명조" w:hAnsi="Times New Roman" w:cs="Times New Roman"/>
                <w:i/>
                <w:color w:val="auto"/>
                <w:sz w:val="20"/>
                <w:szCs w:val="20"/>
                <w:highlight w:val="cyan"/>
              </w:rPr>
              <w:t>i</w:t>
            </w:r>
            <w:proofErr w:type="spellEnd"/>
            <w:r w:rsidRPr="001E2461">
              <w:rPr>
                <w:rFonts w:ascii="Times New Roman" w:eastAsia="휴먼명조" w:hAnsi="Times New Roman" w:cs="Times New Roman"/>
                <w:i/>
                <w:color w:val="auto"/>
                <w:sz w:val="20"/>
                <w:szCs w:val="20"/>
                <w:highlight w:val="cyan"/>
              </w:rPr>
              <w:t>))</w:t>
            </w:r>
          </w:p>
          <w:p w14:paraId="5FAD431E" w14:textId="77777777" w:rsidR="001B0843" w:rsidRPr="001E2461" w:rsidRDefault="001B0843" w:rsidP="00F42988">
            <w:pPr>
              <w:pStyle w:val="aa"/>
              <w:ind w:firstLineChars="200" w:firstLine="4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3.2.2. Transparency of governance and the quality of mitigation outcomes, in terms of: </w:t>
            </w:r>
            <w:r w:rsidRPr="001E2461">
              <w:rPr>
                <w:rFonts w:ascii="Times New Roman" w:eastAsia="휴먼명조" w:hAnsi="Times New Roman" w:cs="Times New Roman"/>
                <w:i/>
                <w:color w:val="auto"/>
                <w:sz w:val="20"/>
                <w:szCs w:val="20"/>
                <w:highlight w:val="cyan"/>
              </w:rPr>
              <w:t>(para. 22.(b).(ii))</w:t>
            </w:r>
          </w:p>
          <w:p w14:paraId="14F4B762" w14:textId="77777777" w:rsidR="001B0843" w:rsidRDefault="001B0843" w:rsidP="00F42988">
            <w:pPr>
              <w:pStyle w:val="aa"/>
              <w:ind w:firstLineChars="300" w:firstLine="600"/>
              <w:rPr>
                <w:rFonts w:ascii="Arial" w:eastAsia="휴먼명조" w:hAnsi="Arial" w:cs="Arial"/>
                <w:color w:val="auto"/>
                <w:sz w:val="20"/>
                <w:szCs w:val="20"/>
              </w:rPr>
            </w:pPr>
            <w:r w:rsidRPr="00AB7159">
              <w:rPr>
                <w:rFonts w:ascii="Arial" w:eastAsia="휴먼명조" w:hAnsi="Arial" w:cs="Arial"/>
                <w:color w:val="auto"/>
                <w:sz w:val="20"/>
                <w:szCs w:val="20"/>
              </w:rPr>
              <w:t>3.2.2.1. Conservative reference levels</w:t>
            </w:r>
          </w:p>
          <w:p w14:paraId="6D6F46F9" w14:textId="77777777" w:rsidR="001B0843" w:rsidRDefault="001B0843" w:rsidP="00F42988">
            <w:pPr>
              <w:pStyle w:val="aa"/>
              <w:ind w:firstLineChars="300" w:firstLine="600"/>
              <w:rPr>
                <w:rFonts w:ascii="Arial" w:eastAsia="휴먼명조" w:hAnsi="Arial" w:cs="Arial"/>
                <w:color w:val="auto"/>
                <w:sz w:val="20"/>
                <w:szCs w:val="20"/>
              </w:rPr>
            </w:pPr>
            <w:r w:rsidRPr="00AB7159">
              <w:rPr>
                <w:rFonts w:ascii="Arial" w:eastAsia="휴먼명조" w:hAnsi="Arial" w:cs="Arial"/>
                <w:color w:val="auto"/>
                <w:sz w:val="20"/>
                <w:szCs w:val="20"/>
              </w:rPr>
              <w:t>3.2.2.2. Baselines set in a conservative way and below BAU emissions projects</w:t>
            </w:r>
          </w:p>
          <w:p w14:paraId="79FA3153" w14:textId="77777777" w:rsidR="001B0843" w:rsidRDefault="001B0843" w:rsidP="00F42988">
            <w:pPr>
              <w:pStyle w:val="aa"/>
              <w:ind w:firstLineChars="200" w:firstLine="4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3.2.3. Minimization of the risks of non-permanence </w:t>
            </w:r>
            <w:r w:rsidRPr="001E2461">
              <w:rPr>
                <w:rFonts w:ascii="Times New Roman" w:eastAsia="휴먼명조" w:hAnsi="Times New Roman" w:cs="Times New Roman"/>
                <w:i/>
                <w:color w:val="auto"/>
                <w:sz w:val="20"/>
                <w:szCs w:val="20"/>
                <w:highlight w:val="cyan"/>
              </w:rPr>
              <w:t>(para. 22.(b).(iii))</w:t>
            </w:r>
          </w:p>
          <w:p w14:paraId="72068BB1" w14:textId="77777777" w:rsidR="001B0843" w:rsidRDefault="001B0843" w:rsidP="00F42988">
            <w:pPr>
              <w:pStyle w:val="aa"/>
              <w:ind w:firstLineChars="100" w:firstLine="2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3.3. Description of the measurement of mitigation outcomes in accordance with the methodologies and metrics assessed by the IPCC and adopted by the CMA </w:t>
            </w:r>
            <w:r w:rsidRPr="001E2461">
              <w:rPr>
                <w:rFonts w:ascii="Times New Roman" w:eastAsia="휴먼명조" w:hAnsi="Times New Roman" w:cs="Times New Roman"/>
                <w:i/>
                <w:color w:val="auto"/>
                <w:sz w:val="20"/>
                <w:szCs w:val="20"/>
                <w:highlight w:val="cyan"/>
              </w:rPr>
              <w:t>(para. 22.(c))</w:t>
            </w:r>
          </w:p>
          <w:p w14:paraId="3B5FF07D" w14:textId="77777777" w:rsidR="001B0843" w:rsidRPr="001E2461" w:rsidRDefault="001B0843" w:rsidP="00F42988">
            <w:pPr>
              <w:pStyle w:val="aa"/>
              <w:ind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3.4. Appropriateness of the conversion method, including: </w:t>
            </w:r>
            <w:r w:rsidRPr="001E2461">
              <w:rPr>
                <w:rFonts w:ascii="Times New Roman" w:eastAsia="휴먼명조" w:hAnsi="Times New Roman" w:cs="Times New Roman"/>
                <w:i/>
                <w:color w:val="auto"/>
                <w:sz w:val="20"/>
                <w:szCs w:val="20"/>
                <w:highlight w:val="cyan"/>
              </w:rPr>
              <w:t>(para. 22.(d))</w:t>
            </w:r>
          </w:p>
          <w:p w14:paraId="6A99AC5F" w14:textId="77777777" w:rsidR="001B0843" w:rsidRDefault="001B0843" w:rsidP="00F42988">
            <w:pPr>
              <w:pStyle w:val="aa"/>
              <w:ind w:firstLineChars="200" w:firstLine="4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3.4.1. Consistency with the geographical boundaries and the relevant time frame </w:t>
            </w:r>
            <w:r w:rsidRPr="001E2461">
              <w:rPr>
                <w:rFonts w:ascii="Times New Roman" w:eastAsia="휴먼명조" w:hAnsi="Times New Roman" w:cs="Times New Roman"/>
                <w:i/>
                <w:color w:val="auto"/>
                <w:sz w:val="20"/>
                <w:szCs w:val="20"/>
                <w:highlight w:val="cyan"/>
              </w:rPr>
              <w:t>(para. 22.(d).(</w:t>
            </w:r>
            <w:proofErr w:type="spellStart"/>
            <w:r w:rsidRPr="001E2461">
              <w:rPr>
                <w:rFonts w:ascii="Times New Roman" w:eastAsia="휴먼명조" w:hAnsi="Times New Roman" w:cs="Times New Roman"/>
                <w:i/>
                <w:color w:val="auto"/>
                <w:sz w:val="20"/>
                <w:szCs w:val="20"/>
                <w:highlight w:val="cyan"/>
              </w:rPr>
              <w:t>i</w:t>
            </w:r>
            <w:proofErr w:type="spellEnd"/>
            <w:r w:rsidRPr="001E2461">
              <w:rPr>
                <w:rFonts w:ascii="Times New Roman" w:eastAsia="휴먼명조" w:hAnsi="Times New Roman" w:cs="Times New Roman"/>
                <w:i/>
                <w:color w:val="auto"/>
                <w:sz w:val="20"/>
                <w:szCs w:val="20"/>
                <w:highlight w:val="cyan"/>
              </w:rPr>
              <w:t>))</w:t>
            </w:r>
          </w:p>
          <w:p w14:paraId="5A101288" w14:textId="77777777" w:rsidR="001B0843" w:rsidRDefault="001B0843" w:rsidP="00F42988">
            <w:pPr>
              <w:pStyle w:val="aa"/>
              <w:ind w:firstLineChars="200" w:firstLine="4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3.4.2. Appropriateness for the specific non-CO2 </w:t>
            </w:r>
            <w:proofErr w:type="spellStart"/>
            <w:r w:rsidRPr="00AB7159">
              <w:rPr>
                <w:rFonts w:ascii="Arial" w:eastAsia="휴먼명조" w:hAnsi="Arial" w:cs="Arial"/>
                <w:color w:val="auto"/>
                <w:sz w:val="20"/>
                <w:szCs w:val="20"/>
              </w:rPr>
              <w:t>eq</w:t>
            </w:r>
            <w:proofErr w:type="spellEnd"/>
            <w:r w:rsidRPr="00AB7159">
              <w:rPr>
                <w:rFonts w:ascii="Arial" w:eastAsia="휴먼명조" w:hAnsi="Arial" w:cs="Arial"/>
                <w:color w:val="auto"/>
                <w:sz w:val="20"/>
                <w:szCs w:val="20"/>
              </w:rPr>
              <w:t xml:space="preserve"> metric </w:t>
            </w:r>
            <w:r w:rsidRPr="001E2461">
              <w:rPr>
                <w:rFonts w:ascii="Times New Roman" w:eastAsia="휴먼명조" w:hAnsi="Times New Roman" w:cs="Times New Roman"/>
                <w:i/>
                <w:color w:val="auto"/>
                <w:sz w:val="20"/>
                <w:szCs w:val="20"/>
                <w:highlight w:val="cyan"/>
              </w:rPr>
              <w:t>(para. 22.(d).(ii))</w:t>
            </w:r>
          </w:p>
          <w:p w14:paraId="60721837" w14:textId="77777777" w:rsidR="001B0843" w:rsidRPr="001E2461" w:rsidRDefault="001B0843" w:rsidP="00F42988">
            <w:pPr>
              <w:pStyle w:val="aa"/>
              <w:ind w:firstLineChars="200" w:firstLine="4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3.4.3. Transparency, including: </w:t>
            </w:r>
            <w:r w:rsidRPr="001E2461">
              <w:rPr>
                <w:rFonts w:ascii="Times New Roman" w:eastAsia="휴먼명조" w:hAnsi="Times New Roman" w:cs="Times New Roman"/>
                <w:i/>
                <w:color w:val="auto"/>
                <w:sz w:val="20"/>
                <w:szCs w:val="20"/>
                <w:highlight w:val="cyan"/>
              </w:rPr>
              <w:t>(para. 22.(b).(iii))</w:t>
            </w:r>
          </w:p>
          <w:p w14:paraId="1417D930" w14:textId="77777777" w:rsidR="001B0843" w:rsidRDefault="001B0843" w:rsidP="00F42988">
            <w:pPr>
              <w:pStyle w:val="aa"/>
              <w:ind w:firstLineChars="300" w:firstLine="600"/>
              <w:rPr>
                <w:rFonts w:ascii="Arial" w:eastAsia="휴먼명조" w:hAnsi="Arial" w:cs="Arial"/>
                <w:color w:val="auto"/>
                <w:sz w:val="20"/>
                <w:szCs w:val="20"/>
              </w:rPr>
            </w:pPr>
            <w:r w:rsidRPr="00AB7159">
              <w:rPr>
                <w:rFonts w:ascii="Arial" w:eastAsia="휴먼명조" w:hAnsi="Arial" w:cs="Arial"/>
                <w:color w:val="auto"/>
                <w:sz w:val="20"/>
                <w:szCs w:val="20"/>
              </w:rPr>
              <w:t>3.4.3.1. Description of the method</w:t>
            </w:r>
          </w:p>
          <w:p w14:paraId="13598433" w14:textId="77777777" w:rsidR="001B0843" w:rsidRDefault="001B0843" w:rsidP="00F42988">
            <w:pPr>
              <w:pStyle w:val="aa"/>
              <w:ind w:firstLineChars="300" w:firstLine="600"/>
              <w:rPr>
                <w:rFonts w:ascii="Arial" w:eastAsia="휴먼명조" w:hAnsi="Arial" w:cs="Arial"/>
                <w:color w:val="auto"/>
                <w:sz w:val="20"/>
                <w:szCs w:val="20"/>
              </w:rPr>
            </w:pPr>
            <w:r w:rsidRPr="00AB7159">
              <w:rPr>
                <w:rFonts w:ascii="Arial" w:eastAsia="휴먼명조" w:hAnsi="Arial" w:cs="Arial"/>
                <w:color w:val="auto"/>
                <w:sz w:val="20"/>
                <w:szCs w:val="20"/>
              </w:rPr>
              <w:t xml:space="preserve">3.4.3.2. The source of the underlying data, </w:t>
            </w:r>
          </w:p>
          <w:p w14:paraId="17F205A2" w14:textId="77777777" w:rsidR="001B0843" w:rsidRDefault="001B0843" w:rsidP="00F42988">
            <w:pPr>
              <w:pStyle w:val="aa"/>
              <w:ind w:firstLineChars="300" w:firstLine="600"/>
              <w:rPr>
                <w:rFonts w:ascii="Arial" w:eastAsia="휴먼명조" w:hAnsi="Arial" w:cs="Arial"/>
                <w:color w:val="auto"/>
                <w:sz w:val="20"/>
                <w:szCs w:val="20"/>
              </w:rPr>
            </w:pPr>
            <w:r w:rsidRPr="00AB7159">
              <w:rPr>
                <w:rFonts w:ascii="Arial" w:eastAsia="휴먼명조" w:hAnsi="Arial" w:cs="Arial"/>
                <w:color w:val="auto"/>
                <w:sz w:val="20"/>
                <w:szCs w:val="20"/>
              </w:rPr>
              <w:lastRenderedPageBreak/>
              <w:t xml:space="preserve">3.4.3.3. Data usage </w:t>
            </w:r>
          </w:p>
          <w:p w14:paraId="782E84F3" w14:textId="77777777" w:rsidR="001B0843" w:rsidRDefault="001B0843" w:rsidP="00F42988">
            <w:pPr>
              <w:pStyle w:val="aa"/>
              <w:ind w:firstLineChars="300" w:firstLine="600"/>
              <w:rPr>
                <w:rFonts w:ascii="Arial" w:eastAsia="휴먼명조" w:hAnsi="Arial" w:cs="Arial"/>
                <w:color w:val="auto"/>
                <w:sz w:val="20"/>
                <w:szCs w:val="20"/>
              </w:rPr>
            </w:pPr>
            <w:r w:rsidRPr="00AB7159">
              <w:rPr>
                <w:rFonts w:ascii="Arial" w:eastAsia="휴먼명조" w:hAnsi="Arial" w:cs="Arial"/>
                <w:color w:val="auto"/>
                <w:sz w:val="20"/>
                <w:szCs w:val="20"/>
              </w:rPr>
              <w:t>3.4.3.4. Conservative application of the method</w:t>
            </w:r>
          </w:p>
          <w:p w14:paraId="7669F905" w14:textId="77777777" w:rsidR="001B0843" w:rsidRDefault="001B0843" w:rsidP="00F42988">
            <w:pPr>
              <w:pStyle w:val="aa"/>
              <w:ind w:firstLineChars="100" w:firstLine="2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3.5. Description of the measurement of mitigation co-benefits resulting from adaptation actions and/or economic diversification plans </w:t>
            </w:r>
            <w:r w:rsidRPr="001E2461">
              <w:rPr>
                <w:rFonts w:ascii="Times New Roman" w:eastAsia="휴먼명조" w:hAnsi="Times New Roman" w:cs="Times New Roman"/>
                <w:i/>
                <w:color w:val="auto"/>
                <w:sz w:val="20"/>
                <w:szCs w:val="20"/>
                <w:highlight w:val="cyan"/>
              </w:rPr>
              <w:t>(para. 22.(e))</w:t>
            </w:r>
          </w:p>
          <w:p w14:paraId="06803E98" w14:textId="77777777" w:rsidR="001B0843" w:rsidRDefault="001B0843" w:rsidP="00F42988">
            <w:pPr>
              <w:pStyle w:val="aa"/>
              <w:ind w:firstLineChars="100" w:firstLine="2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3.6. Minimization of negative environmental, economic and social impacts </w:t>
            </w:r>
            <w:r w:rsidRPr="001E2461">
              <w:rPr>
                <w:rFonts w:ascii="Times New Roman" w:eastAsia="휴먼명조" w:hAnsi="Times New Roman" w:cs="Times New Roman"/>
                <w:i/>
                <w:color w:val="auto"/>
                <w:sz w:val="20"/>
                <w:szCs w:val="20"/>
                <w:highlight w:val="cyan"/>
              </w:rPr>
              <w:t>(para. 22.(f))</w:t>
            </w:r>
          </w:p>
          <w:p w14:paraId="0B03F703" w14:textId="77777777" w:rsidR="001B0843" w:rsidRDefault="001B0843" w:rsidP="00F42988">
            <w:pPr>
              <w:pStyle w:val="aa"/>
              <w:ind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3.7. Reflection of the eleventh </w:t>
            </w:r>
            <w:proofErr w:type="spellStart"/>
            <w:r w:rsidRPr="00AB7159">
              <w:rPr>
                <w:rFonts w:ascii="Arial" w:eastAsia="휴먼명조" w:hAnsi="Arial" w:cs="Arial"/>
                <w:color w:val="auto"/>
                <w:sz w:val="20"/>
                <w:szCs w:val="20"/>
              </w:rPr>
              <w:t>preambular</w:t>
            </w:r>
            <w:proofErr w:type="spellEnd"/>
            <w:r w:rsidRPr="00AB7159">
              <w:rPr>
                <w:rFonts w:ascii="Arial" w:eastAsia="휴먼명조" w:hAnsi="Arial" w:cs="Arial"/>
                <w:color w:val="auto"/>
                <w:sz w:val="20"/>
                <w:szCs w:val="20"/>
              </w:rPr>
              <w:t xml:space="preserve"> paragraph of the Paris Agreement </w:t>
            </w:r>
            <w:r w:rsidRPr="001E2461">
              <w:rPr>
                <w:rFonts w:ascii="Times New Roman" w:eastAsia="휴먼명조" w:hAnsi="Times New Roman" w:cs="Times New Roman"/>
                <w:i/>
                <w:color w:val="auto"/>
                <w:sz w:val="20"/>
                <w:szCs w:val="20"/>
                <w:highlight w:val="cyan"/>
              </w:rPr>
              <w:t>(para. 22.(g))</w:t>
            </w:r>
          </w:p>
          <w:p w14:paraId="454C26CF" w14:textId="77777777" w:rsidR="001B0843" w:rsidRDefault="001B0843" w:rsidP="00F42988">
            <w:pPr>
              <w:pStyle w:val="aa"/>
              <w:ind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3.8. Consistency with and contributions to the sustainable development objectives of the Party</w:t>
            </w:r>
            <w:r w:rsidRPr="00AB7159">
              <w:rPr>
                <w:rFonts w:ascii="Arial" w:eastAsia="휴먼명조" w:hAnsi="Arial" w:cs="Arial"/>
                <w:i/>
                <w:color w:val="auto"/>
                <w:sz w:val="20"/>
                <w:szCs w:val="20"/>
              </w:rPr>
              <w:t xml:space="preserve"> </w:t>
            </w:r>
            <w:r w:rsidRPr="001E2461">
              <w:rPr>
                <w:rFonts w:ascii="Times New Roman" w:eastAsia="휴먼명조" w:hAnsi="Times New Roman" w:cs="Times New Roman"/>
                <w:i/>
                <w:color w:val="auto"/>
                <w:sz w:val="20"/>
                <w:szCs w:val="20"/>
                <w:highlight w:val="cyan"/>
              </w:rPr>
              <w:t>(para. 22.(h))</w:t>
            </w:r>
          </w:p>
          <w:p w14:paraId="16CB7925" w14:textId="77777777" w:rsidR="001B0843" w:rsidRDefault="001B0843" w:rsidP="00F42988">
            <w:pPr>
              <w:pStyle w:val="aa"/>
              <w:ind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3.9. Application of any safeguards and limits set out in further guidance from the CMA </w:t>
            </w:r>
            <w:r w:rsidRPr="001E2461">
              <w:rPr>
                <w:rFonts w:ascii="Times New Roman" w:eastAsia="휴먼명조" w:hAnsi="Times New Roman" w:cs="Times New Roman"/>
                <w:i/>
                <w:color w:val="auto"/>
                <w:sz w:val="20"/>
                <w:szCs w:val="20"/>
                <w:highlight w:val="cyan"/>
              </w:rPr>
              <w:t>(para. 22.(</w:t>
            </w:r>
            <w:proofErr w:type="spellStart"/>
            <w:r w:rsidRPr="001E2461">
              <w:rPr>
                <w:rFonts w:ascii="Times New Roman" w:eastAsia="휴먼명조" w:hAnsi="Times New Roman" w:cs="Times New Roman"/>
                <w:i/>
                <w:color w:val="auto"/>
                <w:sz w:val="20"/>
                <w:szCs w:val="20"/>
                <w:highlight w:val="cyan"/>
              </w:rPr>
              <w:t>i</w:t>
            </w:r>
            <w:proofErr w:type="spellEnd"/>
            <w:r w:rsidRPr="001E2461">
              <w:rPr>
                <w:rFonts w:ascii="Times New Roman" w:eastAsia="휴먼명조" w:hAnsi="Times New Roman" w:cs="Times New Roman"/>
                <w:i/>
                <w:color w:val="auto"/>
                <w:sz w:val="20"/>
                <w:szCs w:val="20"/>
                <w:highlight w:val="cyan"/>
              </w:rPr>
              <w:t>))</w:t>
            </w:r>
          </w:p>
          <w:p w14:paraId="608DA574" w14:textId="77777777" w:rsidR="001B0843" w:rsidRDefault="001B0843" w:rsidP="00F42988">
            <w:pPr>
              <w:pStyle w:val="aa"/>
              <w:ind w:firstLineChars="100" w:firstLine="200"/>
              <w:rPr>
                <w:rFonts w:ascii="Times New Roman" w:eastAsia="휴먼명조" w:hAnsi="Times New Roman" w:cs="Times New Roman"/>
                <w:i/>
                <w:color w:val="auto"/>
                <w:sz w:val="20"/>
                <w:szCs w:val="20"/>
              </w:rPr>
            </w:pPr>
            <w:r w:rsidRPr="00AB7159">
              <w:rPr>
                <w:rFonts w:ascii="Arial" w:eastAsia="휴먼명조" w:hAnsi="Arial" w:cs="Arial"/>
                <w:color w:val="auto"/>
                <w:sz w:val="20"/>
                <w:szCs w:val="20"/>
              </w:rPr>
              <w:t xml:space="preserve">3.10. Contribution of resources for adaptation pursuant to chapter VII of the guidance on cooperative approaches </w:t>
            </w:r>
            <w:r w:rsidRPr="001E2461">
              <w:rPr>
                <w:rFonts w:ascii="Times New Roman" w:eastAsia="휴먼명조" w:hAnsi="Times New Roman" w:cs="Times New Roman"/>
                <w:i/>
                <w:color w:val="auto"/>
                <w:sz w:val="20"/>
                <w:szCs w:val="20"/>
                <w:highlight w:val="cyan"/>
              </w:rPr>
              <w:t>(para. 22.(j))</w:t>
            </w:r>
          </w:p>
          <w:p w14:paraId="0A8FBDD9" w14:textId="5306971E" w:rsidR="001B0843" w:rsidRPr="005E40ED" w:rsidRDefault="001B0843" w:rsidP="005E40ED">
            <w:pPr>
              <w:pStyle w:val="aa"/>
              <w:ind w:firstLineChars="100" w:firstLine="200"/>
              <w:rPr>
                <w:rFonts w:ascii="Times New Roman" w:eastAsia="휴먼명조" w:hAnsi="Times New Roman" w:cs="Times New Roman"/>
                <w:i/>
                <w:color w:val="auto"/>
                <w:sz w:val="20"/>
                <w:szCs w:val="20"/>
                <w:highlight w:val="cyan"/>
              </w:rPr>
            </w:pPr>
            <w:r w:rsidRPr="00AB7159">
              <w:rPr>
                <w:rFonts w:ascii="Arial" w:eastAsia="휴먼명조" w:hAnsi="Arial" w:cs="Arial"/>
                <w:color w:val="auto"/>
                <w:sz w:val="20"/>
                <w:szCs w:val="20"/>
              </w:rPr>
              <w:t xml:space="preserve">3.11. Overall mitigation in global emissions pursuant to chapter VII of the guidance on cooperative approaches </w:t>
            </w:r>
            <w:r w:rsidRPr="001E2461">
              <w:rPr>
                <w:rFonts w:ascii="Times New Roman" w:eastAsia="휴먼명조" w:hAnsi="Times New Roman" w:cs="Times New Roman"/>
                <w:i/>
                <w:color w:val="auto"/>
                <w:sz w:val="20"/>
                <w:szCs w:val="20"/>
                <w:highlight w:val="cyan"/>
              </w:rPr>
              <w:t>(para. 22.(k))</w:t>
            </w:r>
          </w:p>
        </w:tc>
      </w:tr>
    </w:tbl>
    <w:p w14:paraId="286170C9" w14:textId="77777777" w:rsidR="001B0843" w:rsidRDefault="001B0843" w:rsidP="002758A5">
      <w:pPr>
        <w:widowControl/>
        <w:wordWrap/>
        <w:autoSpaceDE/>
        <w:autoSpaceDN/>
        <w:rPr>
          <w:rFonts w:ascii="Arial" w:hAnsi="Arial" w:cs="Arial"/>
          <w:sz w:val="20"/>
          <w:szCs w:val="20"/>
          <w:lang w:val="en-GB"/>
        </w:rPr>
      </w:pPr>
    </w:p>
    <w:p w14:paraId="3D3090A8" w14:textId="77777777" w:rsidR="001B0843" w:rsidRPr="00A00AE7" w:rsidRDefault="001B0843" w:rsidP="002758A5">
      <w:pPr>
        <w:widowControl/>
        <w:wordWrap/>
        <w:autoSpaceDE/>
        <w:autoSpaceDN/>
        <w:rPr>
          <w:rFonts w:ascii="Arial" w:hAnsi="Arial" w:cs="Arial"/>
          <w:sz w:val="20"/>
          <w:szCs w:val="20"/>
          <w:lang w:val="en-GB"/>
        </w:rPr>
      </w:pPr>
    </w:p>
    <w:p w14:paraId="53BB084E" w14:textId="3EE03A8E" w:rsidR="00A72CA8" w:rsidRPr="003D3F4F" w:rsidRDefault="008D5317" w:rsidP="002758A5">
      <w:pPr>
        <w:widowControl/>
        <w:wordWrap/>
        <w:autoSpaceDE/>
        <w:autoSpaceDN/>
        <w:rPr>
          <w:rFonts w:ascii="Arial" w:hAnsi="Arial" w:cs="Arial"/>
          <w:sz w:val="20"/>
          <w:szCs w:val="20"/>
          <w:lang w:val="en-GB"/>
        </w:rPr>
      </w:pPr>
      <w:r w:rsidRPr="005E40ED">
        <w:rPr>
          <w:rFonts w:ascii="Arial" w:hAnsi="Arial" w:cs="Arial"/>
          <w:color w:val="000000" w:themeColor="text1"/>
          <w:sz w:val="20"/>
          <w:szCs w:val="20"/>
          <w:lang w:val="en-GB"/>
        </w:rPr>
        <w:t>T</w:t>
      </w:r>
      <w:r w:rsidR="002758A5" w:rsidRPr="005E40ED">
        <w:rPr>
          <w:rFonts w:ascii="Arial" w:hAnsi="Arial" w:cs="Arial"/>
          <w:color w:val="000000" w:themeColor="text1"/>
          <w:sz w:val="20"/>
          <w:szCs w:val="20"/>
          <w:lang w:val="en-GB"/>
        </w:rPr>
        <w:t xml:space="preserve">he ROK </w:t>
      </w:r>
      <w:r w:rsidR="002758A5" w:rsidRPr="00AB7159">
        <w:rPr>
          <w:rFonts w:ascii="Arial" w:hAnsi="Arial" w:cs="Arial"/>
          <w:sz w:val="20"/>
          <w:szCs w:val="20"/>
          <w:lang w:val="en-GB"/>
        </w:rPr>
        <w:t>views that the quantitative information referred to in paragraph 23 in the A6.2 guidance should be reported in a standardized table based on the structured summary table contained in the decision 5/CMA.3. In our understanding, the structured summary table already provides the space for the information elements defined in paragraph 23(a)-(</w:t>
      </w:r>
      <w:proofErr w:type="spellStart"/>
      <w:r w:rsidR="002758A5" w:rsidRPr="00AB7159">
        <w:rPr>
          <w:rFonts w:ascii="Arial" w:hAnsi="Arial" w:cs="Arial"/>
          <w:sz w:val="20"/>
          <w:szCs w:val="20"/>
          <w:lang w:val="en-GB"/>
        </w:rPr>
        <w:t>i</w:t>
      </w:r>
      <w:proofErr w:type="spellEnd"/>
      <w:r w:rsidR="002758A5" w:rsidRPr="00AB7159">
        <w:rPr>
          <w:rFonts w:ascii="Arial" w:hAnsi="Arial" w:cs="Arial"/>
          <w:sz w:val="20"/>
          <w:szCs w:val="20"/>
          <w:lang w:val="en-GB"/>
        </w:rPr>
        <w:t>) and (k), so we can use this table for biennial reporting for the quantitative information related to the cooperative approaches in an annual basis</w:t>
      </w:r>
      <w:r w:rsidR="00A72CA8">
        <w:rPr>
          <w:rFonts w:ascii="Arial" w:hAnsi="Arial" w:cs="Arial"/>
          <w:sz w:val="20"/>
          <w:szCs w:val="20"/>
          <w:lang w:val="en-GB"/>
        </w:rPr>
        <w:t xml:space="preserve"> </w:t>
      </w:r>
      <w:r w:rsidR="00A72CA8" w:rsidRPr="003D3F4F">
        <w:rPr>
          <w:rFonts w:ascii="Arial" w:hAnsi="Arial" w:cs="Arial"/>
          <w:sz w:val="20"/>
          <w:szCs w:val="20"/>
          <w:lang w:val="en-GB"/>
        </w:rPr>
        <w:t>(please refer to table 5 below and appendix 2 of this submission)</w:t>
      </w:r>
      <w:r w:rsidR="002758A5" w:rsidRPr="003D3F4F">
        <w:rPr>
          <w:rFonts w:ascii="Arial" w:hAnsi="Arial" w:cs="Arial"/>
          <w:sz w:val="20"/>
          <w:szCs w:val="20"/>
          <w:lang w:val="en-GB"/>
        </w:rPr>
        <w:t xml:space="preserve">. </w:t>
      </w:r>
    </w:p>
    <w:p w14:paraId="4452BB73" w14:textId="77777777" w:rsidR="00A72CA8" w:rsidRDefault="00A72CA8" w:rsidP="002758A5">
      <w:pPr>
        <w:widowControl/>
        <w:wordWrap/>
        <w:autoSpaceDE/>
        <w:autoSpaceDN/>
        <w:rPr>
          <w:rFonts w:ascii="Arial" w:hAnsi="Arial" w:cs="Arial"/>
          <w:sz w:val="20"/>
          <w:szCs w:val="20"/>
          <w:lang w:val="en-GB"/>
        </w:rPr>
      </w:pPr>
    </w:p>
    <w:p w14:paraId="34EDF6D5" w14:textId="77777777" w:rsidR="00A72CA8" w:rsidRDefault="00A72CA8" w:rsidP="002758A5">
      <w:pPr>
        <w:widowControl/>
        <w:wordWrap/>
        <w:autoSpaceDE/>
        <w:autoSpaceDN/>
        <w:rPr>
          <w:rFonts w:ascii="Arial" w:hAnsi="Arial" w:cs="Arial"/>
          <w:sz w:val="20"/>
          <w:szCs w:val="20"/>
          <w:lang w:val="en-GB"/>
        </w:rPr>
      </w:pPr>
    </w:p>
    <w:p w14:paraId="28230ADE" w14:textId="77777777" w:rsidR="00A72CA8" w:rsidRDefault="00A72CA8" w:rsidP="002758A5">
      <w:pPr>
        <w:widowControl/>
        <w:wordWrap/>
        <w:autoSpaceDE/>
        <w:autoSpaceDN/>
        <w:rPr>
          <w:rFonts w:ascii="Arial" w:hAnsi="Arial" w:cs="Arial"/>
          <w:sz w:val="20"/>
          <w:szCs w:val="20"/>
          <w:lang w:val="en-GB"/>
        </w:rPr>
      </w:pPr>
    </w:p>
    <w:p w14:paraId="6364B70B" w14:textId="77777777" w:rsidR="00A72CA8" w:rsidRDefault="00A72CA8" w:rsidP="002758A5">
      <w:pPr>
        <w:widowControl/>
        <w:wordWrap/>
        <w:autoSpaceDE/>
        <w:autoSpaceDN/>
        <w:rPr>
          <w:rFonts w:ascii="Arial" w:hAnsi="Arial" w:cs="Arial"/>
          <w:sz w:val="20"/>
          <w:szCs w:val="20"/>
          <w:lang w:val="en-GB"/>
        </w:rPr>
      </w:pPr>
    </w:p>
    <w:p w14:paraId="29CF1D61" w14:textId="77777777" w:rsidR="00A72CA8" w:rsidRDefault="00A72CA8" w:rsidP="002758A5">
      <w:pPr>
        <w:widowControl/>
        <w:wordWrap/>
        <w:autoSpaceDE/>
        <w:autoSpaceDN/>
        <w:rPr>
          <w:rFonts w:ascii="Arial" w:hAnsi="Arial" w:cs="Arial"/>
          <w:sz w:val="20"/>
          <w:szCs w:val="20"/>
          <w:lang w:val="en-GB"/>
        </w:rPr>
      </w:pPr>
    </w:p>
    <w:p w14:paraId="288575D1" w14:textId="77777777" w:rsidR="00102ADA" w:rsidRDefault="00102ADA" w:rsidP="002758A5">
      <w:pPr>
        <w:widowControl/>
        <w:wordWrap/>
        <w:autoSpaceDE/>
        <w:autoSpaceDN/>
        <w:rPr>
          <w:rFonts w:ascii="Arial" w:hAnsi="Arial" w:cs="Arial"/>
          <w:sz w:val="20"/>
          <w:szCs w:val="20"/>
          <w:lang w:val="en-GB"/>
        </w:rPr>
        <w:sectPr w:rsidR="00102ADA" w:rsidSect="00EA02AF">
          <w:footerReference w:type="even" r:id="rId11"/>
          <w:footerReference w:type="default" r:id="rId12"/>
          <w:pgSz w:w="11906" w:h="16838"/>
          <w:pgMar w:top="1701" w:right="1440" w:bottom="1440" w:left="1440" w:header="851" w:footer="992" w:gutter="0"/>
          <w:cols w:space="425"/>
          <w:docGrid w:linePitch="360"/>
        </w:sectPr>
      </w:pPr>
    </w:p>
    <w:p w14:paraId="5C006A1F" w14:textId="14DBA41F" w:rsidR="00A72CA8" w:rsidRPr="003D3F4F" w:rsidRDefault="00A72CA8" w:rsidP="00A72CA8">
      <w:pPr>
        <w:pStyle w:val="af1"/>
        <w:keepNext/>
      </w:pPr>
      <w:r w:rsidRPr="003D3F4F">
        <w:lastRenderedPageBreak/>
        <w:t xml:space="preserve">Table </w:t>
      </w:r>
      <w:r w:rsidR="00D52B5E">
        <w:fldChar w:fldCharType="begin"/>
      </w:r>
      <w:r w:rsidR="00D52B5E">
        <w:instrText xml:space="preserve"> SEQ Table \* ARABIC </w:instrText>
      </w:r>
      <w:r w:rsidR="00D52B5E">
        <w:fldChar w:fldCharType="separate"/>
      </w:r>
      <w:r w:rsidR="001C42EC">
        <w:rPr>
          <w:noProof/>
        </w:rPr>
        <w:t>5</w:t>
      </w:r>
      <w:r w:rsidR="00D52B5E">
        <w:rPr>
          <w:noProof/>
        </w:rPr>
        <w:fldChar w:fldCharType="end"/>
      </w:r>
      <w:r w:rsidRPr="003D3F4F">
        <w:t>. A standardized table for regular information pursuant para. 23(a</w:t>
      </w:r>
      <w:r w:rsidRPr="003D3F4F">
        <w:rPr>
          <w:rFonts w:hint="eastAsia"/>
        </w:rPr>
        <w:t>)</w:t>
      </w:r>
      <w:r w:rsidRPr="003D3F4F">
        <w:t>-(</w:t>
      </w:r>
      <w:proofErr w:type="spellStart"/>
      <w:r w:rsidRPr="003D3F4F">
        <w:t>i</w:t>
      </w:r>
      <w:proofErr w:type="spellEnd"/>
      <w:r w:rsidRPr="003D3F4F">
        <w:t xml:space="preserve">), </w:t>
      </w:r>
      <w:r w:rsidRPr="003D3F4F">
        <w:rPr>
          <w:rFonts w:hint="eastAsia"/>
        </w:rPr>
        <w:t>and (k)</w:t>
      </w:r>
      <w:r w:rsidR="00EF47DE" w:rsidRPr="003D3F4F">
        <w:t xml:space="preserve"> </w:t>
      </w:r>
      <w:r w:rsidR="00EF47DE" w:rsidRPr="003D3F4F">
        <w:rPr>
          <w:rFonts w:hint="eastAsia"/>
        </w:rPr>
        <w:t>proposed by the ROK</w:t>
      </w:r>
    </w:p>
    <w:p w14:paraId="6A636E59" w14:textId="3B6AE838" w:rsidR="00A72CA8" w:rsidRDefault="00A72CA8" w:rsidP="002758A5">
      <w:pPr>
        <w:widowControl/>
        <w:wordWrap/>
        <w:autoSpaceDE/>
        <w:autoSpaceDN/>
        <w:rPr>
          <w:rFonts w:ascii="Arial" w:hAnsi="Arial" w:cs="Arial"/>
          <w:sz w:val="20"/>
          <w:szCs w:val="20"/>
          <w:lang w:val="en-GB"/>
        </w:rPr>
      </w:pPr>
      <w:r w:rsidRPr="00A72CA8">
        <w:rPr>
          <w:rFonts w:hint="eastAsia"/>
          <w:noProof/>
        </w:rPr>
        <w:drawing>
          <wp:inline distT="0" distB="0" distL="0" distR="0" wp14:anchorId="3AF5CB4E" wp14:editId="0CE43BF0">
            <wp:extent cx="8636000" cy="49784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0" cy="4978400"/>
                    </a:xfrm>
                    <a:prstGeom prst="rect">
                      <a:avLst/>
                    </a:prstGeom>
                    <a:noFill/>
                    <a:ln>
                      <a:noFill/>
                    </a:ln>
                  </pic:spPr>
                </pic:pic>
              </a:graphicData>
            </a:graphic>
          </wp:inline>
        </w:drawing>
      </w:r>
    </w:p>
    <w:p w14:paraId="58D7202B" w14:textId="77777777" w:rsidR="00102ADA" w:rsidRDefault="00102ADA" w:rsidP="002758A5">
      <w:pPr>
        <w:widowControl/>
        <w:wordWrap/>
        <w:autoSpaceDE/>
        <w:autoSpaceDN/>
        <w:rPr>
          <w:rFonts w:ascii="Arial" w:hAnsi="Arial" w:cs="Arial"/>
          <w:sz w:val="20"/>
          <w:szCs w:val="20"/>
          <w:lang w:val="en-GB"/>
        </w:rPr>
        <w:sectPr w:rsidR="00102ADA" w:rsidSect="00102ADA">
          <w:pgSz w:w="16838" w:h="11906" w:orient="landscape"/>
          <w:pgMar w:top="1440" w:right="1701" w:bottom="1440" w:left="1440" w:header="851" w:footer="992" w:gutter="0"/>
          <w:cols w:space="425"/>
          <w:docGrid w:linePitch="360"/>
        </w:sectPr>
      </w:pPr>
    </w:p>
    <w:p w14:paraId="6A178A33" w14:textId="02AABDD4" w:rsidR="002758A5" w:rsidRPr="00AB7159" w:rsidRDefault="002758A5" w:rsidP="002758A5">
      <w:pPr>
        <w:widowControl/>
        <w:wordWrap/>
        <w:autoSpaceDE/>
        <w:autoSpaceDN/>
        <w:rPr>
          <w:rFonts w:ascii="Arial" w:hAnsi="Arial" w:cs="Arial"/>
          <w:sz w:val="20"/>
          <w:szCs w:val="20"/>
          <w:lang w:val="en-GB"/>
        </w:rPr>
      </w:pPr>
      <w:r w:rsidRPr="003D3F4F">
        <w:rPr>
          <w:rFonts w:ascii="Arial" w:hAnsi="Arial" w:cs="Arial"/>
          <w:sz w:val="20"/>
          <w:szCs w:val="20"/>
          <w:lang w:val="en-GB"/>
        </w:rPr>
        <w:lastRenderedPageBreak/>
        <w:t>However, there is no room for paragraph 23(j) of the A6.2 guidance, so we suggest the regular information tables to accommodate all information referred to in paragraph 23 as appendix 2</w:t>
      </w:r>
      <w:r w:rsidR="00A72CA8" w:rsidRPr="003D3F4F">
        <w:rPr>
          <w:rFonts w:ascii="Arial" w:hAnsi="Arial" w:cs="Arial"/>
          <w:sz w:val="20"/>
          <w:szCs w:val="20"/>
          <w:lang w:val="en-GB"/>
        </w:rPr>
        <w:t xml:space="preserve"> of this submission</w:t>
      </w:r>
      <w:r w:rsidRPr="003D3F4F">
        <w:rPr>
          <w:rFonts w:ascii="Arial" w:hAnsi="Arial" w:cs="Arial"/>
          <w:sz w:val="20"/>
          <w:szCs w:val="20"/>
          <w:lang w:val="en-GB"/>
        </w:rPr>
        <w:t xml:space="preserve">. Especially, in our view, the table for paragraph 23(j) could be filled in automatically using the annual data which have submitted to the A6DB by participating Parties in the cooperative </w:t>
      </w:r>
      <w:r w:rsidRPr="00AB7159">
        <w:rPr>
          <w:rFonts w:ascii="Arial" w:hAnsi="Arial" w:cs="Arial"/>
          <w:sz w:val="20"/>
          <w:szCs w:val="20"/>
          <w:lang w:val="en-GB"/>
        </w:rPr>
        <w:t xml:space="preserve">approaches to the. </w:t>
      </w:r>
    </w:p>
    <w:p w14:paraId="407A6694" w14:textId="77777777" w:rsidR="00F2232A" w:rsidRDefault="002758A5" w:rsidP="002758A5">
      <w:pPr>
        <w:widowControl/>
        <w:wordWrap/>
        <w:autoSpaceDE/>
        <w:autoSpaceDN/>
        <w:rPr>
          <w:rFonts w:ascii="Arial" w:hAnsi="Arial" w:cs="Arial"/>
          <w:b/>
          <w:bCs/>
          <w:sz w:val="20"/>
          <w:szCs w:val="20"/>
          <w:lang w:val="en-GB"/>
        </w:rPr>
      </w:pPr>
      <w:r w:rsidRPr="00AB7159">
        <w:rPr>
          <w:rFonts w:ascii="Arial" w:hAnsi="Arial" w:cs="Arial"/>
          <w:sz w:val="20"/>
          <w:szCs w:val="20"/>
          <w:lang w:val="en-GB"/>
        </w:rPr>
        <w:t>Furthermore, the A6DB could be functioned for automatic calculation for corresponding adjustments and emissions balance based on the annual information and annual anthropogenic emissions and removals a Party entered into it. Figure 3 below describes this interaction and we do believe that it could ensure consistency in terms of calculating the result value of emissions balance across the Parties applying the same corresponding adjustments method.</w:t>
      </w:r>
      <w:r w:rsidRPr="00AB7159">
        <w:rPr>
          <w:rFonts w:ascii="Arial" w:hAnsi="Arial" w:cs="Arial"/>
          <w:b/>
          <w:bCs/>
          <w:sz w:val="20"/>
          <w:szCs w:val="20"/>
          <w:lang w:val="en-GB"/>
        </w:rPr>
        <w:t xml:space="preserve"> </w:t>
      </w:r>
    </w:p>
    <w:p w14:paraId="213075B8" w14:textId="43049953" w:rsidR="002758A5" w:rsidRPr="00AB7159" w:rsidRDefault="002758A5" w:rsidP="002758A5">
      <w:pPr>
        <w:widowControl/>
        <w:wordWrap/>
        <w:autoSpaceDE/>
        <w:autoSpaceDN/>
        <w:rPr>
          <w:rFonts w:ascii="Arial" w:hAnsi="Arial" w:cs="Arial"/>
          <w:b/>
          <w:bCs/>
          <w:sz w:val="20"/>
          <w:szCs w:val="20"/>
          <w:lang w:val="en-GB"/>
        </w:rPr>
      </w:pPr>
    </w:p>
    <w:p w14:paraId="5B20C55F" w14:textId="1348121E" w:rsidR="002758A5" w:rsidRPr="00F2232A" w:rsidRDefault="002758A5" w:rsidP="002758A5">
      <w:pPr>
        <w:widowControl/>
        <w:wordWrap/>
        <w:autoSpaceDE/>
        <w:autoSpaceDN/>
        <w:rPr>
          <w:b/>
          <w:bCs/>
          <w:sz w:val="20"/>
          <w:szCs w:val="20"/>
        </w:rPr>
      </w:pPr>
      <w:r w:rsidRPr="00F2232A">
        <w:rPr>
          <w:b/>
          <w:bCs/>
          <w:sz w:val="20"/>
          <w:szCs w:val="20"/>
        </w:rPr>
        <w:t xml:space="preserve">Figure </w:t>
      </w:r>
      <w:r w:rsidRPr="00F2232A">
        <w:rPr>
          <w:b/>
          <w:bCs/>
          <w:sz w:val="20"/>
          <w:szCs w:val="20"/>
        </w:rPr>
        <w:fldChar w:fldCharType="begin"/>
      </w:r>
      <w:r w:rsidRPr="00F2232A">
        <w:rPr>
          <w:b/>
          <w:bCs/>
          <w:sz w:val="20"/>
          <w:szCs w:val="20"/>
        </w:rPr>
        <w:instrText xml:space="preserve"> SEQ Figure \* ARABIC </w:instrText>
      </w:r>
      <w:r w:rsidRPr="00F2232A">
        <w:rPr>
          <w:b/>
          <w:bCs/>
          <w:sz w:val="20"/>
          <w:szCs w:val="20"/>
        </w:rPr>
        <w:fldChar w:fldCharType="separate"/>
      </w:r>
      <w:r w:rsidR="001C42EC">
        <w:rPr>
          <w:b/>
          <w:bCs/>
          <w:noProof/>
          <w:sz w:val="20"/>
          <w:szCs w:val="20"/>
        </w:rPr>
        <w:t>2</w:t>
      </w:r>
      <w:r w:rsidRPr="00F2232A">
        <w:rPr>
          <w:b/>
          <w:bCs/>
          <w:sz w:val="20"/>
          <w:szCs w:val="20"/>
        </w:rPr>
        <w:fldChar w:fldCharType="end"/>
      </w:r>
      <w:r w:rsidRPr="00F2232A">
        <w:rPr>
          <w:b/>
          <w:bCs/>
          <w:sz w:val="20"/>
          <w:szCs w:val="20"/>
        </w:rPr>
        <w:t>. Interaction between annual information and regular information through the A6DB</w:t>
      </w:r>
    </w:p>
    <w:p w14:paraId="4EEBD327" w14:textId="4810593B" w:rsidR="002758A5" w:rsidRPr="00AB7159" w:rsidRDefault="002758A5" w:rsidP="002758A5">
      <w:pPr>
        <w:widowControl/>
        <w:wordWrap/>
        <w:autoSpaceDE/>
        <w:autoSpaceDN/>
        <w:rPr>
          <w:rFonts w:ascii="Arial" w:hAnsi="Arial" w:cs="Arial"/>
          <w:b/>
          <w:bCs/>
          <w:sz w:val="20"/>
          <w:szCs w:val="20"/>
        </w:rPr>
      </w:pPr>
      <w:r w:rsidRPr="00AB7159">
        <w:rPr>
          <w:rFonts w:ascii="Arial" w:hAnsi="Arial" w:cs="Arial"/>
          <w:noProof/>
          <w:sz w:val="20"/>
          <w:szCs w:val="20"/>
        </w:rPr>
        <w:drawing>
          <wp:inline distT="0" distB="0" distL="0" distR="0" wp14:anchorId="363C1303" wp14:editId="1C637AA1">
            <wp:extent cx="5731451" cy="6045200"/>
            <wp:effectExtent l="19050" t="19050" r="22225" b="1270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238" cy="6047085"/>
                    </a:xfrm>
                    <a:prstGeom prst="rect">
                      <a:avLst/>
                    </a:prstGeom>
                    <a:noFill/>
                    <a:ln>
                      <a:solidFill>
                        <a:schemeClr val="bg2">
                          <a:lumMod val="50000"/>
                        </a:schemeClr>
                      </a:solidFill>
                    </a:ln>
                  </pic:spPr>
                </pic:pic>
              </a:graphicData>
            </a:graphic>
          </wp:inline>
        </w:drawing>
      </w:r>
    </w:p>
    <w:p w14:paraId="20D836C0" w14:textId="77777777" w:rsidR="00B55ABF" w:rsidRPr="00AB7159" w:rsidRDefault="00B55ABF">
      <w:pPr>
        <w:widowControl/>
        <w:wordWrap/>
        <w:autoSpaceDE/>
        <w:autoSpaceDN/>
        <w:rPr>
          <w:rFonts w:ascii="Arial" w:hAnsi="Arial" w:cs="Arial"/>
          <w:b/>
          <w:bCs/>
          <w:sz w:val="20"/>
          <w:szCs w:val="20"/>
        </w:rPr>
      </w:pPr>
      <w:r w:rsidRPr="00AB7159">
        <w:rPr>
          <w:rFonts w:ascii="Arial" w:hAnsi="Arial" w:cs="Arial"/>
          <w:b/>
          <w:bCs/>
          <w:sz w:val="20"/>
          <w:szCs w:val="20"/>
        </w:rPr>
        <w:br w:type="page"/>
      </w:r>
    </w:p>
    <w:p w14:paraId="66809AD7" w14:textId="3A253FDD" w:rsidR="00B30E04" w:rsidRPr="00963F85" w:rsidRDefault="00B30E04" w:rsidP="00914F49">
      <w:pPr>
        <w:pStyle w:val="a5"/>
        <w:numPr>
          <w:ilvl w:val="0"/>
          <w:numId w:val="3"/>
        </w:numPr>
        <w:ind w:leftChars="0"/>
        <w:rPr>
          <w:rFonts w:ascii="Arial" w:hAnsi="Arial" w:cs="Arial"/>
          <w:b/>
          <w:color w:val="000000" w:themeColor="text1"/>
          <w:sz w:val="26"/>
          <w:szCs w:val="26"/>
        </w:rPr>
      </w:pPr>
      <w:r w:rsidRPr="00963F85">
        <w:rPr>
          <w:rFonts w:ascii="Arial" w:hAnsi="Arial" w:cs="Arial"/>
          <w:b/>
          <w:color w:val="000000" w:themeColor="text1"/>
          <w:sz w:val="26"/>
          <w:szCs w:val="26"/>
        </w:rPr>
        <w:lastRenderedPageBreak/>
        <w:t>Infrastructure</w:t>
      </w:r>
    </w:p>
    <w:p w14:paraId="6EC1110E" w14:textId="77777777" w:rsidR="00B30E04" w:rsidRPr="00AB7159" w:rsidRDefault="00B30E04" w:rsidP="00B30E04">
      <w:pPr>
        <w:rPr>
          <w:rFonts w:ascii="Arial" w:hAnsi="Arial" w:cs="Arial"/>
          <w:sz w:val="20"/>
          <w:szCs w:val="20"/>
          <w:lang w:val="en-GB"/>
        </w:rPr>
      </w:pPr>
    </w:p>
    <w:p w14:paraId="7FB835F3" w14:textId="77777777" w:rsidR="00B30E04" w:rsidRPr="00AB7159" w:rsidRDefault="00B30E04" w:rsidP="00B30E04">
      <w:pPr>
        <w:rPr>
          <w:rFonts w:ascii="Arial" w:hAnsi="Arial" w:cs="Arial"/>
          <w:sz w:val="20"/>
          <w:szCs w:val="20"/>
          <w:lang w:val="en-GB"/>
        </w:rPr>
      </w:pPr>
      <w:r w:rsidRPr="00AB7159">
        <w:rPr>
          <w:rFonts w:ascii="Arial" w:hAnsi="Arial" w:cs="Arial"/>
          <w:bCs/>
          <w:sz w:val="20"/>
          <w:szCs w:val="20"/>
          <w:lang w:val="en-GB"/>
        </w:rPr>
        <w:t>The A6.2 guidance</w:t>
      </w:r>
      <w:r w:rsidRPr="00AB7159">
        <w:rPr>
          <w:rFonts w:ascii="Arial" w:hAnsi="Arial" w:cs="Arial"/>
          <w:sz w:val="20"/>
          <w:szCs w:val="20"/>
          <w:lang w:val="en-GB"/>
        </w:rPr>
        <w:t xml:space="preserve"> </w:t>
      </w:r>
      <w:r w:rsidRPr="00AB7159">
        <w:rPr>
          <w:rFonts w:ascii="Arial" w:hAnsi="Arial" w:cs="Arial"/>
          <w:bCs/>
          <w:sz w:val="20"/>
          <w:szCs w:val="20"/>
          <w:lang w:val="en-GB"/>
        </w:rPr>
        <w:t xml:space="preserve">spells out the minimum technological integration that will be demanded from all Parties participating in Article 6 spanning from the (national) registry to the summary information gathered in the Article 6 database (A6 Database) and in the public interface of the centralized accounting and reporting platform (CARP). It makes reporting by Parties (chapter IV sections B and C of the guidance) the main vehicle to gather summary information on realized cooperative approaches, which are subsequently collected in the A6DB. </w:t>
      </w:r>
      <w:r w:rsidRPr="00AB7159">
        <w:rPr>
          <w:rFonts w:ascii="Arial" w:hAnsi="Arial" w:cs="Arial"/>
          <w:sz w:val="20"/>
          <w:szCs w:val="20"/>
          <w:lang w:val="en-GB"/>
        </w:rPr>
        <w:t xml:space="preserve">This reported information held in the A6DB is not directly connected to the electronic vehicles, like national registries or accounts within the international registry, where issuances, transfers, uses and other functions of ITMOs are tracked. </w:t>
      </w:r>
    </w:p>
    <w:p w14:paraId="58FAB2D2" w14:textId="77777777" w:rsidR="00B30E04" w:rsidRPr="00AB7159" w:rsidRDefault="00B30E04" w:rsidP="00B30E04">
      <w:pPr>
        <w:rPr>
          <w:rFonts w:ascii="Arial" w:hAnsi="Arial" w:cs="Arial"/>
          <w:b/>
          <w:sz w:val="20"/>
          <w:szCs w:val="20"/>
          <w:lang w:val="en-GB"/>
        </w:rPr>
      </w:pPr>
    </w:p>
    <w:p w14:paraId="24AB12C2" w14:textId="6C6D3C18" w:rsidR="00B30E04" w:rsidRPr="0085191C" w:rsidRDefault="00B30E04" w:rsidP="000D1148">
      <w:pPr>
        <w:pStyle w:val="a5"/>
        <w:numPr>
          <w:ilvl w:val="0"/>
          <w:numId w:val="18"/>
        </w:numPr>
        <w:ind w:leftChars="0"/>
        <w:rPr>
          <w:rFonts w:ascii="Arial" w:hAnsi="Arial" w:cs="Arial"/>
          <w:b/>
          <w:sz w:val="24"/>
          <w:szCs w:val="20"/>
          <w:lang w:val="en-GB"/>
        </w:rPr>
      </w:pPr>
      <w:r w:rsidRPr="0085191C">
        <w:rPr>
          <w:rFonts w:ascii="Arial" w:hAnsi="Arial" w:cs="Arial"/>
          <w:b/>
          <w:sz w:val="24"/>
          <w:szCs w:val="20"/>
          <w:lang w:val="en-GB"/>
        </w:rPr>
        <w:t>Level of integration and transparency</w:t>
      </w:r>
    </w:p>
    <w:p w14:paraId="51FB689A" w14:textId="77777777" w:rsidR="00B30E04" w:rsidRPr="00AB7159" w:rsidRDefault="00B30E04" w:rsidP="00B30E04">
      <w:pPr>
        <w:rPr>
          <w:rFonts w:ascii="Arial" w:hAnsi="Arial" w:cs="Arial"/>
          <w:bCs/>
          <w:sz w:val="20"/>
          <w:szCs w:val="20"/>
          <w:lang w:val="en-GB"/>
        </w:rPr>
      </w:pPr>
      <w:r w:rsidRPr="00AB7159">
        <w:rPr>
          <w:rFonts w:ascii="Arial" w:hAnsi="Arial" w:cs="Arial"/>
          <w:bCs/>
          <w:sz w:val="20"/>
          <w:szCs w:val="20"/>
          <w:lang w:val="en-GB"/>
        </w:rPr>
        <w:t xml:space="preserve">While the A6.2 guidance spells out the minimal functions and level of integration of systems, the ROK proposes that higher degrees of electronic integration and automation among registries, the A6 DB and the CARP should be considered for Parties that feel comfortable with this. By higher integration we mean a system that would allow for the transfers of units to occur between national registries or accounts within the international registry. The integrated registry system or connection of decentralized registries would enable, centrally record and track transfers as they move. </w:t>
      </w:r>
    </w:p>
    <w:p w14:paraId="34E8CAC4" w14:textId="77777777" w:rsidR="00B30E04" w:rsidRPr="00AB7159" w:rsidRDefault="00B30E04" w:rsidP="00B30E04">
      <w:pPr>
        <w:rPr>
          <w:rFonts w:ascii="Arial" w:hAnsi="Arial" w:cs="Arial"/>
          <w:bCs/>
          <w:sz w:val="20"/>
          <w:szCs w:val="20"/>
          <w:lang w:val="en-GB"/>
        </w:rPr>
      </w:pPr>
      <w:r w:rsidRPr="00AB7159">
        <w:rPr>
          <w:rFonts w:ascii="Arial" w:hAnsi="Arial" w:cs="Arial"/>
          <w:bCs/>
          <w:sz w:val="20"/>
          <w:szCs w:val="20"/>
          <w:lang w:val="en-GB"/>
        </w:rPr>
        <w:t xml:space="preserve">Alternatively, should a direct link between registries be too cumbersome to implement, one can consider a system where transfer information from individual registries can be reliably mirrored in a centralized place and matched (e.g. the A6DB). In this way, the A6DB could perform a role akin to a clearing house across individual registries, even if only indirectly. While the A6.22 guidance already provides for these consistency check functions related to the A6DB (para. 32(b) and 33), we suggest that this information could be directly gathered from the individual registries if a Party wishes to do so, rather than when Parties report information with a sometimes significant time lag. Such a more integrated system could facilitate the translation of the mandated national unique identifiers on the level of registries (para. 29) or accounts in the international registry (para. 30) into unique international identifiers within the A6DB (para. 32(a)). </w:t>
      </w:r>
    </w:p>
    <w:p w14:paraId="61B78D7A" w14:textId="77777777" w:rsidR="00B30E04" w:rsidRPr="00AB7159" w:rsidRDefault="00B30E04" w:rsidP="00B30E04">
      <w:pPr>
        <w:rPr>
          <w:rFonts w:ascii="Arial" w:hAnsi="Arial" w:cs="Arial"/>
          <w:bCs/>
          <w:sz w:val="20"/>
          <w:szCs w:val="20"/>
          <w:lang w:val="en-GB"/>
        </w:rPr>
      </w:pPr>
      <w:r w:rsidRPr="00AB7159">
        <w:rPr>
          <w:rFonts w:ascii="Arial" w:hAnsi="Arial" w:cs="Arial"/>
          <w:bCs/>
          <w:sz w:val="20"/>
          <w:szCs w:val="20"/>
          <w:lang w:val="en-GB"/>
        </w:rPr>
        <w:t xml:space="preserve">A more integrated infrastructure approach would allow for a direct output of summarized transfer information as authorized by Parties to be available for reporting purposes. It not only bears significant potential for reducing transaction costs and manual reporting work. It could also improve the reliability and traceability of information over time and lead to enhanced transparency overall. We see special potential for a more integrated approach between the international registry and the A6 Database since they all fall under the same unifying structure of the CARP. However, the same level of integration of information should also be rendered possible for Parties that use their own national registry. </w:t>
      </w:r>
    </w:p>
    <w:p w14:paraId="59BB7E13" w14:textId="77777777" w:rsidR="00B30E04" w:rsidRPr="00AB7159" w:rsidRDefault="00B30E04" w:rsidP="00B30E04">
      <w:pPr>
        <w:rPr>
          <w:rFonts w:ascii="Arial" w:hAnsi="Arial" w:cs="Arial"/>
          <w:b/>
          <w:bCs/>
          <w:sz w:val="20"/>
          <w:szCs w:val="20"/>
          <w:lang w:val="en-GB"/>
        </w:rPr>
      </w:pPr>
    </w:p>
    <w:p w14:paraId="08E0894E" w14:textId="6E1D6390" w:rsidR="00B30E04" w:rsidRPr="0085191C" w:rsidRDefault="00B30E04" w:rsidP="0085191C">
      <w:pPr>
        <w:pStyle w:val="a5"/>
        <w:numPr>
          <w:ilvl w:val="0"/>
          <w:numId w:val="18"/>
        </w:numPr>
        <w:ind w:leftChars="0"/>
        <w:rPr>
          <w:rFonts w:ascii="Arial" w:hAnsi="Arial" w:cs="Arial"/>
          <w:b/>
          <w:bCs/>
          <w:sz w:val="24"/>
          <w:szCs w:val="20"/>
          <w:lang w:val="en-GB"/>
        </w:rPr>
      </w:pPr>
      <w:r w:rsidRPr="0085191C">
        <w:rPr>
          <w:rFonts w:ascii="Arial" w:hAnsi="Arial" w:cs="Arial"/>
          <w:b/>
          <w:bCs/>
          <w:sz w:val="24"/>
          <w:szCs w:val="20"/>
          <w:lang w:val="en-GB"/>
        </w:rPr>
        <w:t>Integrity of information over time</w:t>
      </w:r>
    </w:p>
    <w:p w14:paraId="05C309E5" w14:textId="37567CE4" w:rsidR="00B30E04" w:rsidRPr="00AB7159" w:rsidRDefault="00B30E04" w:rsidP="00B30E04">
      <w:pPr>
        <w:rPr>
          <w:rFonts w:ascii="Arial" w:hAnsi="Arial" w:cs="Arial"/>
          <w:bCs/>
          <w:sz w:val="20"/>
          <w:szCs w:val="20"/>
          <w:lang w:val="en-GB"/>
        </w:rPr>
      </w:pPr>
      <w:r w:rsidRPr="00AB7159">
        <w:rPr>
          <w:rFonts w:ascii="Arial" w:hAnsi="Arial" w:cs="Arial"/>
          <w:bCs/>
          <w:sz w:val="20"/>
          <w:szCs w:val="20"/>
          <w:lang w:val="en-GB"/>
        </w:rPr>
        <w:t xml:space="preserve">The starting point for any activity to enter within the framework of Article 6 is the authorization by Parties, alongside the Parties’ commitment to follow the A6.2 guidance. In the context of Article 6.2, cooperating Parties thus take on the role of a gatekeeper, ensuring compliance with multilaterally agreed rules. They decide what to authorize and determine themselves the initial input information provided on all ITMOs (vintage, activity type, </w:t>
      </w:r>
      <w:proofErr w:type="gramStart"/>
      <w:r w:rsidRPr="00AB7159">
        <w:rPr>
          <w:rFonts w:ascii="Arial" w:hAnsi="Arial" w:cs="Arial"/>
          <w:bCs/>
          <w:sz w:val="20"/>
          <w:szCs w:val="20"/>
          <w:lang w:val="en-GB"/>
        </w:rPr>
        <w:t>sector</w:t>
      </w:r>
      <w:proofErr w:type="gramEnd"/>
      <w:r w:rsidRPr="00AB7159">
        <w:rPr>
          <w:rFonts w:ascii="Arial" w:hAnsi="Arial" w:cs="Arial"/>
          <w:bCs/>
          <w:sz w:val="20"/>
          <w:szCs w:val="20"/>
          <w:lang w:val="en-GB"/>
        </w:rPr>
        <w:t xml:space="preserve">). For Article 6.2, the system for inserting information is very much bottom-up in nature. Yet, for the system to be reliable and credible, one needs to ensure that officially entered information remains official over time. The infrastructure thus needs to become more centralized as information moves beyond the national sphere and international transfers occur. The information entered into the national registry or the respective country account within the international registry at the time of authorization for tracking purposes should be the immutable basis for reporting and accounting. Officially communicated information should only be changed in clearly defined </w:t>
      </w:r>
      <w:r w:rsidRPr="00AB7159">
        <w:rPr>
          <w:rFonts w:ascii="Arial" w:hAnsi="Arial" w:cs="Arial"/>
          <w:bCs/>
          <w:sz w:val="20"/>
          <w:szCs w:val="20"/>
          <w:lang w:val="en-GB"/>
        </w:rPr>
        <w:lastRenderedPageBreak/>
        <w:t xml:space="preserve">circumstances (e.g. manual errors etc.). In an ideal case, relevant reporting information can be generated automatically by summing up all the activities authorized and entered into the infrastructure system from the start, only to be reviewed as summary information by Parties. This is essential for the credibility of the system, the reliability of information and the investment security of private actors. </w:t>
      </w:r>
    </w:p>
    <w:p w14:paraId="265F4420" w14:textId="77777777" w:rsidR="00B30E04" w:rsidRPr="00AB7159" w:rsidRDefault="00B30E04" w:rsidP="00B30E04">
      <w:pPr>
        <w:rPr>
          <w:rFonts w:ascii="Arial" w:hAnsi="Arial" w:cs="Arial"/>
          <w:b/>
          <w:bCs/>
          <w:sz w:val="20"/>
          <w:szCs w:val="20"/>
          <w:lang w:val="en-GB"/>
        </w:rPr>
      </w:pPr>
    </w:p>
    <w:p w14:paraId="2FC5405D" w14:textId="289C9A00" w:rsidR="00B30E04" w:rsidRPr="0085191C" w:rsidRDefault="00B30E04" w:rsidP="0085191C">
      <w:pPr>
        <w:pStyle w:val="a5"/>
        <w:numPr>
          <w:ilvl w:val="0"/>
          <w:numId w:val="18"/>
        </w:numPr>
        <w:ind w:leftChars="0"/>
        <w:rPr>
          <w:rFonts w:ascii="Arial" w:hAnsi="Arial" w:cs="Arial"/>
          <w:b/>
          <w:bCs/>
          <w:sz w:val="24"/>
          <w:szCs w:val="20"/>
          <w:lang w:val="en-GB"/>
        </w:rPr>
      </w:pPr>
      <w:r w:rsidRPr="0085191C">
        <w:rPr>
          <w:rFonts w:ascii="Arial" w:hAnsi="Arial" w:cs="Arial"/>
          <w:b/>
          <w:bCs/>
          <w:sz w:val="24"/>
          <w:szCs w:val="20"/>
          <w:lang w:val="en-GB"/>
        </w:rPr>
        <w:t>Timeliness of information</w:t>
      </w:r>
    </w:p>
    <w:p w14:paraId="3D43073A" w14:textId="77777777" w:rsidR="00B30E04" w:rsidRPr="00AB7159" w:rsidRDefault="00B30E04" w:rsidP="00B30E04">
      <w:pPr>
        <w:rPr>
          <w:rFonts w:ascii="Arial" w:hAnsi="Arial" w:cs="Arial"/>
          <w:bCs/>
          <w:sz w:val="20"/>
          <w:szCs w:val="20"/>
          <w:lang w:val="en-GB"/>
        </w:rPr>
      </w:pPr>
      <w:r w:rsidRPr="00AB7159">
        <w:rPr>
          <w:rFonts w:ascii="Arial" w:hAnsi="Arial" w:cs="Arial"/>
          <w:bCs/>
          <w:sz w:val="20"/>
          <w:szCs w:val="20"/>
          <w:lang w:val="en-GB"/>
        </w:rPr>
        <w:t>The A6.2 guidance creates a system that reports information at the earliest in annual cycles (Chapter IV. B) and mostly biennially (Chapter IV. C). The Article 6 infrastructure can provide an opportunity for Parties and private actors authorized by Parties to communicate official decisions and activities (authorization, transfer, use, cancellation etc.) at shorter time intervals and thereby enhance transparency for participating Parties and observers alike. This does not mean that all Parties or private actors would be forced to communicate any steps instantaneously. Instead, we should provide the opportunity for Parties and private actors to share information in real time or as soon as they wish, if necessary requirements in the guidance are upheld. For Parties and other actors that do not wish to provide information earlier, the Article 6 guidance defines the latest time for reporting on activities that will need to be upheld by all.</w:t>
      </w:r>
    </w:p>
    <w:p w14:paraId="4F7914EF" w14:textId="77777777" w:rsidR="00B30E04" w:rsidRPr="00AB7159" w:rsidRDefault="00B30E04" w:rsidP="00B30E04">
      <w:pPr>
        <w:rPr>
          <w:rFonts w:ascii="Arial" w:hAnsi="Arial" w:cs="Arial"/>
          <w:b/>
          <w:bCs/>
          <w:sz w:val="20"/>
          <w:szCs w:val="20"/>
          <w:lang w:val="en-GB"/>
        </w:rPr>
      </w:pPr>
    </w:p>
    <w:p w14:paraId="7324FEFF" w14:textId="02371FAA" w:rsidR="00B30E04" w:rsidRPr="0085191C" w:rsidRDefault="00B30E04" w:rsidP="0085191C">
      <w:pPr>
        <w:pStyle w:val="a5"/>
        <w:numPr>
          <w:ilvl w:val="0"/>
          <w:numId w:val="18"/>
        </w:numPr>
        <w:ind w:leftChars="0"/>
        <w:rPr>
          <w:rFonts w:ascii="Arial" w:hAnsi="Arial" w:cs="Arial"/>
          <w:b/>
          <w:bCs/>
          <w:sz w:val="24"/>
          <w:szCs w:val="20"/>
          <w:lang w:val="en-GB"/>
        </w:rPr>
      </w:pPr>
      <w:r w:rsidRPr="0085191C">
        <w:rPr>
          <w:rFonts w:ascii="Arial" w:hAnsi="Arial" w:cs="Arial"/>
          <w:b/>
          <w:bCs/>
          <w:sz w:val="24"/>
          <w:szCs w:val="20"/>
          <w:lang w:val="en-GB"/>
        </w:rPr>
        <w:t>Scope of the Article 6 infrastructure</w:t>
      </w:r>
    </w:p>
    <w:p w14:paraId="6D57653C" w14:textId="77777777" w:rsidR="00B30E04" w:rsidRPr="00AB7159" w:rsidRDefault="00B30E04" w:rsidP="00B30E04">
      <w:pPr>
        <w:rPr>
          <w:rFonts w:ascii="Arial" w:hAnsi="Arial" w:cs="Arial"/>
          <w:bCs/>
          <w:sz w:val="20"/>
          <w:szCs w:val="20"/>
          <w:lang w:val="en-GB"/>
        </w:rPr>
      </w:pPr>
      <w:r w:rsidRPr="00AB7159">
        <w:rPr>
          <w:rFonts w:ascii="Arial" w:hAnsi="Arial" w:cs="Arial"/>
          <w:bCs/>
          <w:sz w:val="20"/>
          <w:szCs w:val="20"/>
          <w:lang w:val="en-GB"/>
        </w:rPr>
        <w:t xml:space="preserve">In today’s landscape of compliance and voluntary markets, many standards register activities that could fall under Article 6. However, the scope of the Article 6 infrastructure should a priori be limited to those activities that are authorized by Parties either under Article 6.2 or under Article 6.4. Further levels of integration and central mirroring to independent standards whose activities are not authorized under Article 6 can be considered, but would only be a secondary priority. </w:t>
      </w:r>
    </w:p>
    <w:p w14:paraId="4CD39E84" w14:textId="77777777" w:rsidR="00B30E04" w:rsidRPr="00AB7159" w:rsidRDefault="00B30E04" w:rsidP="00B30E04">
      <w:pPr>
        <w:rPr>
          <w:rFonts w:ascii="Arial" w:hAnsi="Arial" w:cs="Arial"/>
          <w:bCs/>
          <w:sz w:val="20"/>
          <w:szCs w:val="20"/>
          <w:lang w:val="en-GB"/>
        </w:rPr>
      </w:pPr>
      <w:r w:rsidRPr="00AB7159">
        <w:rPr>
          <w:rFonts w:ascii="Arial" w:hAnsi="Arial" w:cs="Arial"/>
          <w:bCs/>
          <w:sz w:val="20"/>
          <w:szCs w:val="20"/>
          <w:lang w:val="en-GB"/>
        </w:rPr>
        <w:t xml:space="preserve">Many countries have developed their own national registries, which are used for domestic and international purposes. These registries sometimes operate on different data standards and are not always interoperable. It remains the independent decision of all Parties maintain, connect or not connect their own national registries, depending on the technical complexity involved. As the guidance text notes, any Party may request an account in the international registry (para. 30) and could decide to use its existing national registry complementarily, should a direct integration not be desired. </w:t>
      </w:r>
    </w:p>
    <w:p w14:paraId="6D750132" w14:textId="77777777" w:rsidR="00B30E04" w:rsidRPr="00AB7159" w:rsidRDefault="00B30E04" w:rsidP="00B30E04">
      <w:pPr>
        <w:rPr>
          <w:rFonts w:ascii="Arial" w:hAnsi="Arial" w:cs="Arial"/>
          <w:b/>
          <w:bCs/>
          <w:sz w:val="20"/>
          <w:szCs w:val="20"/>
          <w:lang w:val="en-GB"/>
        </w:rPr>
      </w:pPr>
    </w:p>
    <w:p w14:paraId="3CBBD3CD" w14:textId="66B86AC8" w:rsidR="00B30E04" w:rsidRPr="0085191C" w:rsidRDefault="00B30E04" w:rsidP="0085191C">
      <w:pPr>
        <w:pStyle w:val="a5"/>
        <w:numPr>
          <w:ilvl w:val="0"/>
          <w:numId w:val="18"/>
        </w:numPr>
        <w:ind w:leftChars="0"/>
        <w:rPr>
          <w:rFonts w:ascii="Arial" w:hAnsi="Arial" w:cs="Arial"/>
          <w:b/>
          <w:bCs/>
          <w:sz w:val="24"/>
          <w:szCs w:val="20"/>
          <w:lang w:val="en-GB"/>
        </w:rPr>
      </w:pPr>
      <w:r w:rsidRPr="0085191C">
        <w:rPr>
          <w:rFonts w:ascii="Arial" w:hAnsi="Arial" w:cs="Arial"/>
          <w:b/>
          <w:bCs/>
          <w:sz w:val="24"/>
          <w:szCs w:val="20"/>
          <w:lang w:val="en-GB"/>
        </w:rPr>
        <w:t>Synergies between Article 6.2 and Article 6.4</w:t>
      </w:r>
    </w:p>
    <w:p w14:paraId="0CB92409" w14:textId="277804E7" w:rsidR="00B30E04" w:rsidRPr="00AB7159" w:rsidRDefault="00B30E04" w:rsidP="00B30E04">
      <w:pPr>
        <w:rPr>
          <w:rFonts w:ascii="Arial" w:hAnsi="Arial" w:cs="Arial"/>
          <w:sz w:val="20"/>
          <w:szCs w:val="20"/>
        </w:rPr>
      </w:pPr>
      <w:r w:rsidRPr="00AB7159">
        <w:rPr>
          <w:rFonts w:ascii="Arial" w:hAnsi="Arial" w:cs="Arial"/>
          <w:sz w:val="20"/>
          <w:szCs w:val="20"/>
        </w:rPr>
        <w:t>The ROK believes that the Article 6 infrastructure will need to be able to include both information on A6.2 and A6.4. It should allow for the transparent transfer of both types of units on the international level and into the national registries or accounts within the international registry. This means that a link between the Art. 6.4 mechanism registry and national registries may be permitted if a Party wishes to do so to allow for tracking and recording the transfer, acquisition, and usage of A6.4ERs.</w:t>
      </w:r>
    </w:p>
    <w:p w14:paraId="4260E922" w14:textId="77777777" w:rsidR="00B80ED1" w:rsidRPr="00AB7159" w:rsidRDefault="00B80ED1" w:rsidP="00B30E04">
      <w:pPr>
        <w:rPr>
          <w:rFonts w:ascii="Arial" w:hAnsi="Arial" w:cs="Arial"/>
          <w:sz w:val="20"/>
          <w:szCs w:val="20"/>
        </w:rPr>
      </w:pPr>
    </w:p>
    <w:p w14:paraId="35A82877" w14:textId="6A8C72F8" w:rsidR="00B30E04" w:rsidRPr="0085191C" w:rsidRDefault="00B30E04" w:rsidP="0085191C">
      <w:pPr>
        <w:pStyle w:val="a5"/>
        <w:numPr>
          <w:ilvl w:val="0"/>
          <w:numId w:val="18"/>
        </w:numPr>
        <w:ind w:leftChars="0"/>
        <w:rPr>
          <w:rFonts w:ascii="Arial" w:hAnsi="Arial" w:cs="Arial"/>
          <w:b/>
          <w:sz w:val="24"/>
        </w:rPr>
      </w:pPr>
      <w:r w:rsidRPr="0085191C">
        <w:rPr>
          <w:rFonts w:ascii="Arial" w:hAnsi="Arial" w:cs="Arial"/>
          <w:b/>
          <w:sz w:val="24"/>
        </w:rPr>
        <w:t>Relevant accounts</w:t>
      </w:r>
    </w:p>
    <w:p w14:paraId="0F2523BE" w14:textId="77777777" w:rsidR="00B30E04" w:rsidRPr="00AB7159" w:rsidRDefault="00B30E04" w:rsidP="00B30E04">
      <w:pPr>
        <w:rPr>
          <w:rFonts w:ascii="Arial" w:hAnsi="Arial" w:cs="Arial"/>
          <w:sz w:val="20"/>
          <w:szCs w:val="20"/>
        </w:rPr>
      </w:pPr>
      <w:r w:rsidRPr="00AB7159">
        <w:rPr>
          <w:rFonts w:ascii="Arial" w:hAnsi="Arial" w:cs="Arial"/>
          <w:bCs/>
          <w:sz w:val="20"/>
          <w:szCs w:val="20"/>
          <w:lang w:val="en-GB"/>
        </w:rPr>
        <w:t>Any infrastructure system needs to ensure that accounts are available for Parties under which they can declare the use of ITMOs towards their NDC. At the same time, the infrastructure solutions needs to cater for private sector actors that will take on different roles (entity authorized to transfer, intermediate holder, or final user for voluntary purposes).</w:t>
      </w:r>
    </w:p>
    <w:p w14:paraId="1ED8E094" w14:textId="77777777" w:rsidR="00B30E04" w:rsidRPr="00AB7159" w:rsidRDefault="00B30E04" w:rsidP="00B30E04">
      <w:pPr>
        <w:rPr>
          <w:rFonts w:ascii="Arial" w:hAnsi="Arial" w:cs="Arial"/>
          <w:sz w:val="20"/>
          <w:szCs w:val="20"/>
        </w:rPr>
      </w:pPr>
      <w:r w:rsidRPr="00AB7159">
        <w:rPr>
          <w:rFonts w:ascii="Arial" w:hAnsi="Arial" w:cs="Arial"/>
          <w:sz w:val="20"/>
          <w:szCs w:val="20"/>
        </w:rPr>
        <w:t xml:space="preserve">Relevant accounts will be needed not only for use towards NDCs (retirement account) but also for use towards other international mitigation purposes. These accounts will have to be clearly distinguished and should be publicly available in order to allow for cross-comparisons with e.g. the CORSIA Central </w:t>
      </w:r>
      <w:r w:rsidRPr="00AB7159">
        <w:rPr>
          <w:rFonts w:ascii="Arial" w:hAnsi="Arial" w:cs="Arial"/>
          <w:sz w:val="20"/>
          <w:szCs w:val="20"/>
        </w:rPr>
        <w:lastRenderedPageBreak/>
        <w:t>Registry and other mitigation purposes that may follow in the future.</w:t>
      </w:r>
    </w:p>
    <w:p w14:paraId="012C5C38" w14:textId="77777777" w:rsidR="00B30E04" w:rsidRPr="00AB7159" w:rsidRDefault="00B30E04" w:rsidP="00B30E04">
      <w:pPr>
        <w:rPr>
          <w:rFonts w:ascii="Arial" w:hAnsi="Arial" w:cs="Arial"/>
          <w:b/>
          <w:sz w:val="20"/>
          <w:szCs w:val="20"/>
        </w:rPr>
      </w:pPr>
    </w:p>
    <w:p w14:paraId="1DDA8AA4" w14:textId="4E06900B" w:rsidR="00B30E04" w:rsidRPr="0085191C" w:rsidRDefault="00B30E04" w:rsidP="0085191C">
      <w:pPr>
        <w:pStyle w:val="a5"/>
        <w:numPr>
          <w:ilvl w:val="0"/>
          <w:numId w:val="18"/>
        </w:numPr>
        <w:ind w:leftChars="0"/>
        <w:rPr>
          <w:rFonts w:ascii="Arial" w:hAnsi="Arial" w:cs="Arial"/>
          <w:b/>
          <w:sz w:val="24"/>
        </w:rPr>
      </w:pPr>
      <w:r w:rsidRPr="0085191C">
        <w:rPr>
          <w:rFonts w:ascii="Arial" w:hAnsi="Arial" w:cs="Arial"/>
          <w:b/>
          <w:sz w:val="24"/>
        </w:rPr>
        <w:t>Format for unique identification</w:t>
      </w:r>
    </w:p>
    <w:p w14:paraId="64057531" w14:textId="77777777" w:rsidR="00B30E04" w:rsidRPr="00AB7159" w:rsidRDefault="00B30E04" w:rsidP="00B30E04">
      <w:pPr>
        <w:rPr>
          <w:rFonts w:ascii="Arial" w:hAnsi="Arial" w:cs="Arial"/>
          <w:sz w:val="20"/>
          <w:szCs w:val="20"/>
        </w:rPr>
      </w:pPr>
      <w:r w:rsidRPr="00AB7159">
        <w:rPr>
          <w:rFonts w:ascii="Arial" w:hAnsi="Arial" w:cs="Arial"/>
          <w:sz w:val="20"/>
          <w:szCs w:val="20"/>
        </w:rPr>
        <w:t>For international unique identifiers for reporting ITMO information, we suggest the inclusion of information on the round of the NDC, party identifiers, types of units, vintage, project number and the purpose of use.</w:t>
      </w:r>
    </w:p>
    <w:p w14:paraId="29CB0B30" w14:textId="11B8C1CC" w:rsidR="003A3010" w:rsidRPr="00AB7159" w:rsidRDefault="003A3010">
      <w:pPr>
        <w:widowControl/>
        <w:wordWrap/>
        <w:autoSpaceDE/>
        <w:autoSpaceDN/>
        <w:rPr>
          <w:rFonts w:ascii="Arial" w:hAnsi="Arial" w:cs="Arial"/>
          <w:b/>
          <w:sz w:val="20"/>
          <w:szCs w:val="20"/>
          <w:lang w:val="en-GB"/>
        </w:rPr>
      </w:pPr>
    </w:p>
    <w:p w14:paraId="4E5D9D44" w14:textId="658DA856" w:rsidR="00B30E04" w:rsidRPr="00963F85" w:rsidRDefault="00B30E04" w:rsidP="00914F49">
      <w:pPr>
        <w:pStyle w:val="a5"/>
        <w:numPr>
          <w:ilvl w:val="0"/>
          <w:numId w:val="3"/>
        </w:numPr>
        <w:ind w:leftChars="0"/>
        <w:rPr>
          <w:rFonts w:ascii="Arial" w:hAnsi="Arial" w:cs="Arial"/>
          <w:b/>
          <w:color w:val="000000" w:themeColor="text1"/>
          <w:sz w:val="26"/>
          <w:szCs w:val="26"/>
          <w:lang w:val="en-GB"/>
        </w:rPr>
      </w:pPr>
      <w:r w:rsidRPr="00963F85">
        <w:rPr>
          <w:rFonts w:ascii="Arial" w:hAnsi="Arial" w:cs="Arial"/>
          <w:b/>
          <w:color w:val="000000" w:themeColor="text1"/>
          <w:sz w:val="26"/>
          <w:szCs w:val="26"/>
          <w:lang w:val="en-GB"/>
        </w:rPr>
        <w:t>Review</w:t>
      </w:r>
    </w:p>
    <w:p w14:paraId="71E959D1" w14:textId="77777777" w:rsidR="003A3010" w:rsidRPr="00AB7159" w:rsidRDefault="003A3010" w:rsidP="00B30E04">
      <w:pPr>
        <w:rPr>
          <w:rFonts w:ascii="Arial" w:hAnsi="Arial" w:cs="Arial"/>
          <w:sz w:val="20"/>
          <w:szCs w:val="20"/>
        </w:rPr>
      </w:pPr>
    </w:p>
    <w:p w14:paraId="78670800" w14:textId="681A37E7" w:rsidR="00B30E04" w:rsidRPr="00AB7159" w:rsidRDefault="00B30E04" w:rsidP="00B30E04">
      <w:pPr>
        <w:rPr>
          <w:rFonts w:ascii="Arial" w:hAnsi="Arial" w:cs="Arial"/>
          <w:sz w:val="20"/>
          <w:szCs w:val="20"/>
        </w:rPr>
      </w:pPr>
      <w:r w:rsidRPr="00AB7159">
        <w:rPr>
          <w:rFonts w:ascii="Arial" w:hAnsi="Arial" w:cs="Arial"/>
          <w:sz w:val="20"/>
          <w:szCs w:val="20"/>
        </w:rPr>
        <w:t>The informal note from the SBSTA56 provides valuable contents for the review guidance, therefore this informal note would be good basis to develop detailed review guidance. The ROK suggests an outline</w:t>
      </w:r>
      <w:r w:rsidR="004D6443" w:rsidRPr="00AB7159">
        <w:rPr>
          <w:rFonts w:ascii="Arial" w:hAnsi="Arial" w:cs="Arial"/>
          <w:sz w:val="20"/>
          <w:szCs w:val="20"/>
        </w:rPr>
        <w:t>, including</w:t>
      </w:r>
      <w:r w:rsidRPr="00AB7159">
        <w:rPr>
          <w:rFonts w:ascii="Arial" w:hAnsi="Arial" w:cs="Arial"/>
          <w:sz w:val="20"/>
          <w:szCs w:val="20"/>
        </w:rPr>
        <w:t xml:space="preserve"> </w:t>
      </w:r>
      <w:r w:rsidR="004D6443" w:rsidRPr="00AB7159">
        <w:rPr>
          <w:rFonts w:ascii="Arial" w:hAnsi="Arial" w:cs="Arial"/>
          <w:sz w:val="20"/>
          <w:szCs w:val="20"/>
        </w:rPr>
        <w:t>key</w:t>
      </w:r>
      <w:r w:rsidRPr="00AB7159">
        <w:rPr>
          <w:rFonts w:ascii="Arial" w:hAnsi="Arial" w:cs="Arial"/>
          <w:sz w:val="20"/>
          <w:szCs w:val="20"/>
        </w:rPr>
        <w:t xml:space="preserve"> elements needed to include in the guidance as follows.</w:t>
      </w:r>
    </w:p>
    <w:p w14:paraId="23AAE116" w14:textId="77777777" w:rsidR="00B30E04" w:rsidRPr="00AB7159" w:rsidRDefault="00B30E04" w:rsidP="00B30E04">
      <w:pPr>
        <w:rPr>
          <w:rFonts w:ascii="Arial" w:hAnsi="Arial" w:cs="Arial"/>
          <w:sz w:val="20"/>
          <w:szCs w:val="20"/>
        </w:rPr>
      </w:pPr>
    </w:p>
    <w:p w14:paraId="6D89D0D9" w14:textId="271D3521" w:rsidR="00B30E04" w:rsidRPr="007F50D8" w:rsidRDefault="000C52EA" w:rsidP="007F50D8">
      <w:pPr>
        <w:pStyle w:val="a5"/>
        <w:numPr>
          <w:ilvl w:val="0"/>
          <w:numId w:val="23"/>
        </w:numPr>
        <w:ind w:leftChars="0"/>
        <w:rPr>
          <w:rFonts w:ascii="Arial" w:hAnsi="Arial" w:cs="Arial"/>
          <w:b/>
          <w:sz w:val="24"/>
        </w:rPr>
      </w:pPr>
      <w:r w:rsidRPr="007F50D8">
        <w:rPr>
          <w:rFonts w:ascii="Arial" w:hAnsi="Arial" w:cs="Arial"/>
          <w:b/>
          <w:sz w:val="24"/>
        </w:rPr>
        <w:t>O</w:t>
      </w:r>
      <w:r w:rsidR="00B30E04" w:rsidRPr="007F50D8">
        <w:rPr>
          <w:rFonts w:ascii="Arial" w:hAnsi="Arial" w:cs="Arial"/>
          <w:b/>
          <w:sz w:val="24"/>
        </w:rPr>
        <w:t>bjectives</w:t>
      </w:r>
    </w:p>
    <w:p w14:paraId="7F7E0221" w14:textId="434216F6" w:rsidR="0036395A" w:rsidRPr="00AB7159" w:rsidRDefault="000C52EA" w:rsidP="00B30E04">
      <w:pPr>
        <w:rPr>
          <w:rFonts w:ascii="Arial" w:hAnsi="Arial" w:cs="Arial"/>
          <w:sz w:val="20"/>
          <w:szCs w:val="20"/>
        </w:rPr>
      </w:pPr>
      <w:r w:rsidRPr="00AB7159">
        <w:rPr>
          <w:rFonts w:ascii="Arial" w:hAnsi="Arial" w:cs="Arial"/>
          <w:sz w:val="20"/>
          <w:szCs w:val="20"/>
        </w:rPr>
        <w:t>T</w:t>
      </w:r>
      <w:r w:rsidR="00B30E04" w:rsidRPr="00AB7159">
        <w:rPr>
          <w:rFonts w:ascii="Arial" w:hAnsi="Arial" w:cs="Arial"/>
          <w:sz w:val="20"/>
          <w:szCs w:val="20"/>
        </w:rPr>
        <w:t xml:space="preserve">he Article 6 technical expert review (TER) </w:t>
      </w:r>
      <w:r w:rsidRPr="00AB7159">
        <w:rPr>
          <w:rFonts w:ascii="Arial" w:hAnsi="Arial" w:cs="Arial"/>
          <w:sz w:val="20"/>
          <w:szCs w:val="20"/>
        </w:rPr>
        <w:t xml:space="preserve">should </w:t>
      </w:r>
      <w:r w:rsidR="00B30E04" w:rsidRPr="00AB7159">
        <w:rPr>
          <w:rFonts w:ascii="Arial" w:hAnsi="Arial" w:cs="Arial"/>
          <w:sz w:val="20"/>
          <w:szCs w:val="20"/>
        </w:rPr>
        <w:t>aim</w:t>
      </w:r>
      <w:r w:rsidR="00B30E04" w:rsidRPr="00AB7159">
        <w:rPr>
          <w:rFonts w:ascii="Arial" w:hAnsi="Arial" w:cs="Arial"/>
          <w:strike/>
          <w:sz w:val="20"/>
          <w:szCs w:val="20"/>
        </w:rPr>
        <w:t>s</w:t>
      </w:r>
      <w:r w:rsidR="00B30E04" w:rsidRPr="00AB7159">
        <w:rPr>
          <w:rFonts w:ascii="Arial" w:hAnsi="Arial" w:cs="Arial"/>
          <w:sz w:val="20"/>
          <w:szCs w:val="20"/>
        </w:rPr>
        <w:t xml:space="preserve"> to deliver integrity and trust in the system by ensuring the avoidance of double counting and the environmental integrity of cooperative approaches</w:t>
      </w:r>
      <w:r w:rsidR="00E66A1D" w:rsidRPr="00AB7159">
        <w:rPr>
          <w:rFonts w:ascii="Arial" w:hAnsi="Arial" w:cs="Arial"/>
          <w:sz w:val="20"/>
          <w:szCs w:val="20"/>
        </w:rPr>
        <w:t xml:space="preserve"> because in particular, </w:t>
      </w:r>
      <w:r w:rsidR="00780150" w:rsidRPr="00AB7159">
        <w:rPr>
          <w:rFonts w:ascii="Arial" w:hAnsi="Arial" w:cs="Arial"/>
          <w:sz w:val="20"/>
          <w:szCs w:val="20"/>
        </w:rPr>
        <w:t xml:space="preserve">cooperative approaches under </w:t>
      </w:r>
      <w:r w:rsidR="00B563E0">
        <w:rPr>
          <w:rFonts w:ascii="Arial" w:hAnsi="Arial" w:cs="Arial"/>
          <w:sz w:val="20"/>
          <w:szCs w:val="20"/>
        </w:rPr>
        <w:t xml:space="preserve">the </w:t>
      </w:r>
      <w:r w:rsidR="00E66A1D" w:rsidRPr="00AB7159">
        <w:rPr>
          <w:rFonts w:ascii="Arial" w:hAnsi="Arial" w:cs="Arial"/>
          <w:sz w:val="20"/>
          <w:szCs w:val="20"/>
        </w:rPr>
        <w:t>Article 6.2 are not governed centrally</w:t>
      </w:r>
      <w:r w:rsidRPr="00AB7159">
        <w:rPr>
          <w:rFonts w:ascii="Arial" w:hAnsi="Arial" w:cs="Arial"/>
          <w:sz w:val="20"/>
          <w:szCs w:val="20"/>
        </w:rPr>
        <w:t>, but only overseen by the Participating Parties</w:t>
      </w:r>
      <w:r w:rsidR="00B30E04" w:rsidRPr="00AB7159">
        <w:rPr>
          <w:rFonts w:ascii="Arial" w:hAnsi="Arial" w:cs="Arial"/>
          <w:sz w:val="20"/>
          <w:szCs w:val="20"/>
        </w:rPr>
        <w:t xml:space="preserve">. </w:t>
      </w:r>
    </w:p>
    <w:p w14:paraId="5B1DF616" w14:textId="170B091D" w:rsidR="00B30E04" w:rsidRPr="00AB7159" w:rsidRDefault="00B30E04" w:rsidP="00B30E04">
      <w:pPr>
        <w:rPr>
          <w:rFonts w:ascii="Arial" w:hAnsi="Arial" w:cs="Arial"/>
          <w:strike/>
          <w:sz w:val="20"/>
          <w:szCs w:val="20"/>
        </w:rPr>
      </w:pPr>
      <w:r w:rsidRPr="00AB7159">
        <w:rPr>
          <w:rFonts w:ascii="Arial" w:hAnsi="Arial" w:cs="Arial"/>
          <w:sz w:val="20"/>
          <w:szCs w:val="20"/>
        </w:rPr>
        <w:t xml:space="preserve">In this regard, the Article 6 TER should </w:t>
      </w:r>
      <w:r w:rsidR="004D6443" w:rsidRPr="00AB7159">
        <w:rPr>
          <w:rFonts w:ascii="Arial" w:hAnsi="Arial" w:cs="Arial"/>
          <w:sz w:val="20"/>
          <w:szCs w:val="20"/>
        </w:rPr>
        <w:t xml:space="preserve">function to </w:t>
      </w:r>
      <w:r w:rsidR="000C52EA" w:rsidRPr="00AB7159">
        <w:rPr>
          <w:rFonts w:ascii="Arial" w:hAnsi="Arial" w:cs="Arial"/>
          <w:sz w:val="20"/>
          <w:szCs w:val="20"/>
        </w:rPr>
        <w:t xml:space="preserve">comprehensively review and </w:t>
      </w:r>
      <w:r w:rsidR="004D6443" w:rsidRPr="00AB7159">
        <w:rPr>
          <w:rFonts w:ascii="Arial" w:hAnsi="Arial" w:cs="Arial"/>
          <w:sz w:val="20"/>
          <w:szCs w:val="20"/>
        </w:rPr>
        <w:t xml:space="preserve">cross-check </w:t>
      </w:r>
      <w:r w:rsidRPr="00AB7159">
        <w:rPr>
          <w:rFonts w:ascii="Arial" w:hAnsi="Arial" w:cs="Arial"/>
          <w:sz w:val="20"/>
          <w:szCs w:val="20"/>
        </w:rPr>
        <w:t xml:space="preserve">information </w:t>
      </w:r>
      <w:r w:rsidR="004D6443" w:rsidRPr="00AB7159">
        <w:rPr>
          <w:rFonts w:ascii="Arial" w:hAnsi="Arial" w:cs="Arial"/>
          <w:sz w:val="20"/>
          <w:szCs w:val="20"/>
        </w:rPr>
        <w:t xml:space="preserve">of the participating Parties </w:t>
      </w:r>
      <w:r w:rsidRPr="00AB7159">
        <w:rPr>
          <w:rFonts w:ascii="Arial" w:hAnsi="Arial" w:cs="Arial"/>
          <w:sz w:val="20"/>
          <w:szCs w:val="20"/>
        </w:rPr>
        <w:t xml:space="preserve">on cooperative approaches to </w:t>
      </w:r>
      <w:r w:rsidR="00E66A1D" w:rsidRPr="00AB7159">
        <w:rPr>
          <w:rFonts w:ascii="Arial" w:hAnsi="Arial" w:cs="Arial"/>
          <w:sz w:val="20"/>
          <w:szCs w:val="20"/>
        </w:rPr>
        <w:t>facilitate</w:t>
      </w:r>
      <w:r w:rsidRPr="00AB7159">
        <w:rPr>
          <w:rFonts w:ascii="Arial" w:hAnsi="Arial" w:cs="Arial"/>
          <w:sz w:val="20"/>
          <w:szCs w:val="20"/>
        </w:rPr>
        <w:t xml:space="preserve"> establishment and improvement of national arrangements</w:t>
      </w:r>
      <w:r w:rsidR="00E66A1D" w:rsidRPr="00AB7159">
        <w:rPr>
          <w:rFonts w:ascii="Arial" w:hAnsi="Arial" w:cs="Arial"/>
          <w:sz w:val="20"/>
          <w:szCs w:val="20"/>
        </w:rPr>
        <w:t xml:space="preserve"> of the participating Parties</w:t>
      </w:r>
      <w:r w:rsidRPr="00AB7159">
        <w:rPr>
          <w:rFonts w:ascii="Arial" w:hAnsi="Arial" w:cs="Arial"/>
          <w:sz w:val="20"/>
          <w:szCs w:val="20"/>
        </w:rPr>
        <w:t xml:space="preserve">. Furthermore, the </w:t>
      </w:r>
      <w:r w:rsidR="00E66A1D" w:rsidRPr="00AB7159">
        <w:rPr>
          <w:rFonts w:ascii="Arial" w:hAnsi="Arial" w:cs="Arial"/>
          <w:sz w:val="20"/>
          <w:szCs w:val="20"/>
        </w:rPr>
        <w:t xml:space="preserve">recommendations from </w:t>
      </w:r>
      <w:r w:rsidRPr="00AB7159">
        <w:rPr>
          <w:rFonts w:ascii="Arial" w:hAnsi="Arial" w:cs="Arial"/>
          <w:sz w:val="20"/>
          <w:szCs w:val="20"/>
        </w:rPr>
        <w:t xml:space="preserve">Article 6 TER </w:t>
      </w:r>
      <w:r w:rsidR="00E66A1D" w:rsidRPr="00AB7159">
        <w:rPr>
          <w:rFonts w:ascii="Arial" w:hAnsi="Arial" w:cs="Arial"/>
          <w:sz w:val="20"/>
          <w:szCs w:val="20"/>
        </w:rPr>
        <w:t xml:space="preserve">could </w:t>
      </w:r>
      <w:r w:rsidRPr="00AB7159">
        <w:rPr>
          <w:rFonts w:ascii="Arial" w:hAnsi="Arial" w:cs="Arial"/>
          <w:sz w:val="20"/>
          <w:szCs w:val="20"/>
        </w:rPr>
        <w:t>help Parties</w:t>
      </w:r>
      <w:r w:rsidR="00E66A1D" w:rsidRPr="00AB7159">
        <w:rPr>
          <w:rFonts w:ascii="Arial" w:hAnsi="Arial" w:cs="Arial"/>
          <w:sz w:val="20"/>
          <w:szCs w:val="20"/>
        </w:rPr>
        <w:t xml:space="preserve"> improve reporting</w:t>
      </w:r>
      <w:r w:rsidR="000C52EA" w:rsidRPr="00AB7159">
        <w:rPr>
          <w:rFonts w:ascii="Arial" w:hAnsi="Arial" w:cs="Arial"/>
          <w:sz w:val="20"/>
          <w:szCs w:val="20"/>
        </w:rPr>
        <w:t xml:space="preserve"> capabilities</w:t>
      </w:r>
      <w:r w:rsidR="00E66A1D" w:rsidRPr="00AB7159">
        <w:rPr>
          <w:rFonts w:ascii="Arial" w:hAnsi="Arial" w:cs="Arial"/>
          <w:sz w:val="20"/>
          <w:szCs w:val="20"/>
        </w:rPr>
        <w:t xml:space="preserve"> in the subsequent reporting</w:t>
      </w:r>
      <w:r w:rsidR="00DE09B2" w:rsidRPr="00AB7159">
        <w:rPr>
          <w:rFonts w:ascii="Arial" w:hAnsi="Arial" w:cs="Arial"/>
          <w:sz w:val="20"/>
          <w:szCs w:val="20"/>
        </w:rPr>
        <w:t xml:space="preserve"> and provide input for consideration to the Article 13 TER.</w:t>
      </w:r>
    </w:p>
    <w:p w14:paraId="070915A9" w14:textId="0290AC25" w:rsidR="000C52EA" w:rsidRPr="00AB7159" w:rsidRDefault="000C52EA" w:rsidP="00B30E04">
      <w:pPr>
        <w:rPr>
          <w:rFonts w:ascii="Arial" w:hAnsi="Arial" w:cs="Arial"/>
          <w:sz w:val="20"/>
          <w:szCs w:val="20"/>
        </w:rPr>
      </w:pPr>
    </w:p>
    <w:p w14:paraId="0328C051" w14:textId="1D8AB276" w:rsidR="000C52EA" w:rsidRPr="00222816" w:rsidRDefault="000C52EA" w:rsidP="00222816">
      <w:pPr>
        <w:pStyle w:val="a5"/>
        <w:numPr>
          <w:ilvl w:val="0"/>
          <w:numId w:val="23"/>
        </w:numPr>
        <w:ind w:leftChars="0"/>
        <w:rPr>
          <w:rFonts w:ascii="Arial" w:hAnsi="Arial" w:cs="Arial"/>
          <w:b/>
          <w:sz w:val="24"/>
          <w:szCs w:val="20"/>
        </w:rPr>
      </w:pPr>
      <w:r w:rsidRPr="00222816">
        <w:rPr>
          <w:rFonts w:ascii="Arial" w:hAnsi="Arial" w:cs="Arial"/>
          <w:b/>
          <w:bCs/>
          <w:sz w:val="24"/>
          <w:szCs w:val="20"/>
        </w:rPr>
        <w:t>Principle</w:t>
      </w:r>
    </w:p>
    <w:p w14:paraId="0D1EA0D7" w14:textId="25286CA3" w:rsidR="00B30E04" w:rsidRPr="00AB7159" w:rsidRDefault="00953FB7" w:rsidP="00B30E04">
      <w:pPr>
        <w:rPr>
          <w:rFonts w:ascii="Arial" w:hAnsi="Arial" w:cs="Arial"/>
          <w:sz w:val="20"/>
          <w:szCs w:val="20"/>
        </w:rPr>
      </w:pPr>
      <w:r w:rsidRPr="00AB7159">
        <w:rPr>
          <w:rFonts w:ascii="Arial" w:hAnsi="Arial" w:cs="Arial"/>
          <w:sz w:val="20"/>
          <w:szCs w:val="20"/>
        </w:rPr>
        <w:t xml:space="preserve">Article 6 TER should form a part of the whole Article 13 technical expert review </w:t>
      </w:r>
      <w:r w:rsidR="00B30E04" w:rsidRPr="00AB7159">
        <w:rPr>
          <w:rFonts w:ascii="Arial" w:hAnsi="Arial" w:cs="Arial"/>
          <w:sz w:val="20"/>
          <w:szCs w:val="20"/>
        </w:rPr>
        <w:t xml:space="preserve">be implemented in a facilitative, non-intrusive and non-punitive manner that is respectful of national sovereignty. And the </w:t>
      </w:r>
      <w:r w:rsidR="00451E1B" w:rsidRPr="00AB7159">
        <w:rPr>
          <w:rFonts w:ascii="Arial" w:hAnsi="Arial" w:cs="Arial"/>
          <w:sz w:val="20"/>
          <w:szCs w:val="20"/>
        </w:rPr>
        <w:t xml:space="preserve">Article 6 TER </w:t>
      </w:r>
      <w:r w:rsidR="00B30E04" w:rsidRPr="00AB7159">
        <w:rPr>
          <w:rFonts w:ascii="Arial" w:hAnsi="Arial" w:cs="Arial"/>
          <w:sz w:val="20"/>
          <w:szCs w:val="20"/>
        </w:rPr>
        <w:t>shall not make any political judgments.</w:t>
      </w:r>
      <w:r w:rsidR="00451E1B" w:rsidRPr="00AB7159">
        <w:rPr>
          <w:rFonts w:ascii="Arial" w:hAnsi="Arial" w:cs="Arial"/>
          <w:sz w:val="20"/>
          <w:szCs w:val="20"/>
        </w:rPr>
        <w:t xml:space="preserve"> Moreover, the Article 6 TER will avoid pacing undue burden on Parties</w:t>
      </w:r>
      <w:r w:rsidR="00CF4634" w:rsidRPr="00AB7159">
        <w:rPr>
          <w:rFonts w:ascii="Arial" w:hAnsi="Arial" w:cs="Arial"/>
          <w:sz w:val="20"/>
          <w:szCs w:val="20"/>
        </w:rPr>
        <w:t xml:space="preserve"> </w:t>
      </w:r>
      <w:r w:rsidR="008A3B46" w:rsidRPr="00AB7159">
        <w:rPr>
          <w:rFonts w:ascii="Arial" w:hAnsi="Arial" w:cs="Arial"/>
          <w:sz w:val="20"/>
          <w:szCs w:val="20"/>
        </w:rPr>
        <w:t>and the secretariat</w:t>
      </w:r>
      <w:r w:rsidR="00451E1B" w:rsidRPr="00AB7159">
        <w:rPr>
          <w:rFonts w:ascii="Arial" w:hAnsi="Arial" w:cs="Arial"/>
          <w:sz w:val="20"/>
          <w:szCs w:val="20"/>
        </w:rPr>
        <w:t>.</w:t>
      </w:r>
    </w:p>
    <w:p w14:paraId="25CF29EE" w14:textId="30E2D0BC" w:rsidR="00953FB7" w:rsidRPr="00AB7159" w:rsidRDefault="00953FB7" w:rsidP="00B30E04">
      <w:pPr>
        <w:rPr>
          <w:rFonts w:ascii="Arial" w:hAnsi="Arial" w:cs="Arial"/>
          <w:sz w:val="20"/>
          <w:szCs w:val="20"/>
        </w:rPr>
      </w:pPr>
      <w:r w:rsidRPr="00AB7159">
        <w:rPr>
          <w:rFonts w:ascii="Arial" w:hAnsi="Arial" w:cs="Arial"/>
          <w:sz w:val="20"/>
          <w:szCs w:val="20"/>
        </w:rPr>
        <w:t xml:space="preserve">However, the Article 6 TER should be as robust as possible and should not provide flexibility for the participating Parties because unlike the </w:t>
      </w:r>
      <w:r w:rsidR="00272A7E" w:rsidRPr="00AB7159">
        <w:rPr>
          <w:rFonts w:ascii="Arial" w:hAnsi="Arial" w:cs="Arial"/>
          <w:sz w:val="20"/>
          <w:szCs w:val="20"/>
        </w:rPr>
        <w:t>reporting and review under the enhanced transparency framework, the Article 6 activities are voluntary in nature.</w:t>
      </w:r>
    </w:p>
    <w:p w14:paraId="6B0D1CD0" w14:textId="77777777" w:rsidR="00B30E04" w:rsidRPr="00AB7159" w:rsidRDefault="00B30E04" w:rsidP="00B30E04">
      <w:pPr>
        <w:rPr>
          <w:rFonts w:ascii="Arial" w:hAnsi="Arial" w:cs="Arial"/>
          <w:sz w:val="20"/>
          <w:szCs w:val="20"/>
        </w:rPr>
      </w:pPr>
    </w:p>
    <w:p w14:paraId="7117470E" w14:textId="5F373467" w:rsidR="00B30E04" w:rsidRPr="00607418" w:rsidRDefault="00B30E04" w:rsidP="00607418">
      <w:pPr>
        <w:pStyle w:val="a5"/>
        <w:numPr>
          <w:ilvl w:val="0"/>
          <w:numId w:val="23"/>
        </w:numPr>
        <w:ind w:leftChars="0"/>
        <w:rPr>
          <w:rFonts w:ascii="Arial" w:hAnsi="Arial" w:cs="Arial"/>
          <w:b/>
          <w:sz w:val="24"/>
        </w:rPr>
      </w:pPr>
      <w:r w:rsidRPr="00607418">
        <w:rPr>
          <w:rFonts w:ascii="Arial" w:hAnsi="Arial" w:cs="Arial"/>
          <w:b/>
          <w:sz w:val="24"/>
        </w:rPr>
        <w:t>Scope</w:t>
      </w:r>
    </w:p>
    <w:p w14:paraId="7705ECED" w14:textId="6F33B25C" w:rsidR="00451E1B" w:rsidRPr="00AB7159" w:rsidRDefault="0036395A" w:rsidP="00B30E04">
      <w:pPr>
        <w:rPr>
          <w:rFonts w:ascii="Arial" w:hAnsi="Arial" w:cs="Arial"/>
          <w:sz w:val="20"/>
          <w:szCs w:val="20"/>
        </w:rPr>
      </w:pPr>
      <w:r w:rsidRPr="00AB7159">
        <w:rPr>
          <w:rFonts w:ascii="Arial" w:hAnsi="Arial" w:cs="Arial"/>
          <w:sz w:val="20"/>
          <w:szCs w:val="20"/>
        </w:rPr>
        <w:t xml:space="preserve">The Article 6 review </w:t>
      </w:r>
      <w:r w:rsidR="00345921" w:rsidRPr="00AB7159">
        <w:rPr>
          <w:rFonts w:ascii="Arial" w:hAnsi="Arial" w:cs="Arial"/>
          <w:sz w:val="20"/>
          <w:szCs w:val="20"/>
        </w:rPr>
        <w:t xml:space="preserve">is qualitative and quantitative. It </w:t>
      </w:r>
      <w:r w:rsidRPr="00AB7159">
        <w:rPr>
          <w:rFonts w:ascii="Arial" w:hAnsi="Arial" w:cs="Arial"/>
          <w:sz w:val="20"/>
          <w:szCs w:val="20"/>
        </w:rPr>
        <w:t xml:space="preserve">should review the consistency </w:t>
      </w:r>
      <w:r w:rsidR="00DE09B2" w:rsidRPr="00AB7159">
        <w:rPr>
          <w:rFonts w:ascii="Arial" w:hAnsi="Arial" w:cs="Arial"/>
          <w:sz w:val="20"/>
          <w:szCs w:val="20"/>
        </w:rPr>
        <w:t xml:space="preserve">and completeness </w:t>
      </w:r>
      <w:r w:rsidRPr="00AB7159">
        <w:rPr>
          <w:rFonts w:ascii="Arial" w:hAnsi="Arial" w:cs="Arial"/>
          <w:sz w:val="20"/>
          <w:szCs w:val="20"/>
        </w:rPr>
        <w:t xml:space="preserve">of the information submitted by the Party pursuant to chapter IV. A and C of the guidance as per paragraph 26 </w:t>
      </w:r>
      <w:r w:rsidR="00DE09B2" w:rsidRPr="00AB7159">
        <w:rPr>
          <w:rFonts w:ascii="Arial" w:hAnsi="Arial" w:cs="Arial"/>
          <w:sz w:val="20"/>
          <w:szCs w:val="20"/>
        </w:rPr>
        <w:t xml:space="preserve">(in the </w:t>
      </w:r>
      <w:r w:rsidR="00D80CBD" w:rsidRPr="00AB7159">
        <w:rPr>
          <w:rFonts w:ascii="Arial" w:hAnsi="Arial" w:cs="Arial"/>
          <w:sz w:val="20"/>
          <w:szCs w:val="20"/>
        </w:rPr>
        <w:t>c</w:t>
      </w:r>
      <w:r w:rsidR="00DE09B2" w:rsidRPr="00AB7159">
        <w:rPr>
          <w:rFonts w:ascii="Arial" w:hAnsi="Arial" w:cs="Arial"/>
          <w:sz w:val="20"/>
          <w:szCs w:val="20"/>
        </w:rPr>
        <w:t xml:space="preserve">hapter V) </w:t>
      </w:r>
      <w:r w:rsidRPr="00AB7159">
        <w:rPr>
          <w:rFonts w:ascii="Arial" w:hAnsi="Arial" w:cs="Arial"/>
          <w:sz w:val="20"/>
          <w:szCs w:val="20"/>
        </w:rPr>
        <w:t>of the A6.2 guidance</w:t>
      </w:r>
      <w:r w:rsidR="00345921" w:rsidRPr="00AB7159">
        <w:rPr>
          <w:rFonts w:ascii="Arial" w:hAnsi="Arial" w:cs="Arial"/>
          <w:sz w:val="20"/>
          <w:szCs w:val="20"/>
        </w:rPr>
        <w:t>.</w:t>
      </w:r>
    </w:p>
    <w:p w14:paraId="2A55DE96" w14:textId="77777777" w:rsidR="00DE09B2" w:rsidRDefault="00DE09B2" w:rsidP="00B30E04">
      <w:pPr>
        <w:rPr>
          <w:rFonts w:ascii="Arial" w:hAnsi="Arial" w:cs="Arial"/>
          <w:sz w:val="20"/>
          <w:szCs w:val="20"/>
        </w:rPr>
      </w:pPr>
    </w:p>
    <w:p w14:paraId="6F481514" w14:textId="09289C0A" w:rsidR="00B30E04" w:rsidRPr="00607418" w:rsidRDefault="00B30E04" w:rsidP="00607418">
      <w:pPr>
        <w:pStyle w:val="a5"/>
        <w:numPr>
          <w:ilvl w:val="0"/>
          <w:numId w:val="23"/>
        </w:numPr>
        <w:ind w:leftChars="0"/>
        <w:rPr>
          <w:rFonts w:ascii="Arial" w:hAnsi="Arial" w:cs="Arial"/>
          <w:b/>
          <w:sz w:val="24"/>
        </w:rPr>
      </w:pPr>
      <w:r w:rsidRPr="00607418">
        <w:rPr>
          <w:rFonts w:ascii="Arial" w:hAnsi="Arial" w:cs="Arial"/>
          <w:b/>
          <w:sz w:val="24"/>
        </w:rPr>
        <w:t xml:space="preserve">Format </w:t>
      </w:r>
    </w:p>
    <w:p w14:paraId="3B5DA052" w14:textId="3E486F4E" w:rsidR="00B30E04" w:rsidRPr="00AB7159" w:rsidRDefault="00B30E04" w:rsidP="00B30E04">
      <w:pPr>
        <w:rPr>
          <w:rFonts w:ascii="Arial" w:hAnsi="Arial" w:cs="Arial"/>
          <w:sz w:val="20"/>
          <w:szCs w:val="20"/>
        </w:rPr>
      </w:pPr>
      <w:r w:rsidRPr="00AB7159">
        <w:rPr>
          <w:rFonts w:ascii="Arial" w:hAnsi="Arial" w:cs="Arial"/>
          <w:sz w:val="20"/>
          <w:szCs w:val="20"/>
        </w:rPr>
        <w:t>Pursuant to paragraph 2</w:t>
      </w:r>
      <w:r w:rsidR="00345921" w:rsidRPr="00AB7159">
        <w:rPr>
          <w:rFonts w:ascii="Arial" w:hAnsi="Arial" w:cs="Arial"/>
          <w:sz w:val="20"/>
          <w:szCs w:val="20"/>
        </w:rPr>
        <w:t>5</w:t>
      </w:r>
      <w:r w:rsidRPr="00AB7159">
        <w:rPr>
          <w:rFonts w:ascii="Arial" w:hAnsi="Arial" w:cs="Arial"/>
          <w:sz w:val="20"/>
          <w:szCs w:val="20"/>
        </w:rPr>
        <w:t xml:space="preserve"> of the guidance, the format of the Article 6 TER is desk or centralized review. </w:t>
      </w:r>
      <w:r w:rsidR="00345921" w:rsidRPr="00AB7159">
        <w:rPr>
          <w:rFonts w:ascii="Arial" w:hAnsi="Arial" w:cs="Arial"/>
          <w:sz w:val="20"/>
          <w:szCs w:val="20"/>
        </w:rPr>
        <w:lastRenderedPageBreak/>
        <w:t xml:space="preserve">And </w:t>
      </w:r>
      <w:r w:rsidRPr="00AB7159">
        <w:rPr>
          <w:rFonts w:ascii="Arial" w:hAnsi="Arial" w:cs="Arial"/>
          <w:sz w:val="20"/>
          <w:szCs w:val="20"/>
        </w:rPr>
        <w:t xml:space="preserve">further format or modalities of desk or centralized review can be adopted from paragraph 152 and 154 of the annex to the decision 18/CMA.1 </w:t>
      </w:r>
      <w:r w:rsidR="00345921" w:rsidRPr="00AB7159">
        <w:rPr>
          <w:rFonts w:ascii="Arial" w:hAnsi="Arial" w:cs="Arial"/>
          <w:sz w:val="20"/>
          <w:szCs w:val="20"/>
        </w:rPr>
        <w:t xml:space="preserve">respectively </w:t>
      </w:r>
      <w:r w:rsidRPr="00AB7159">
        <w:rPr>
          <w:rFonts w:ascii="Arial" w:hAnsi="Arial" w:cs="Arial"/>
          <w:sz w:val="20"/>
          <w:szCs w:val="20"/>
        </w:rPr>
        <w:t>as:</w:t>
      </w:r>
    </w:p>
    <w:p w14:paraId="11DC2D9A" w14:textId="77777777" w:rsidR="00B30E04" w:rsidRPr="00AB7159" w:rsidRDefault="00B30E04" w:rsidP="00B30E04">
      <w:pPr>
        <w:rPr>
          <w:rFonts w:ascii="Arial" w:hAnsi="Arial" w:cs="Arial"/>
          <w:sz w:val="20"/>
          <w:szCs w:val="20"/>
        </w:rPr>
      </w:pPr>
      <w:r w:rsidRPr="00AB7159">
        <w:rPr>
          <w:rFonts w:ascii="Arial" w:hAnsi="Arial" w:cs="Arial"/>
          <w:sz w:val="20"/>
          <w:szCs w:val="20"/>
        </w:rPr>
        <w:tab/>
        <w:t>(a) A desk review is when the members of a technical expert review team conduct the review remotely from their respective countries;</w:t>
      </w:r>
    </w:p>
    <w:p w14:paraId="46CE2F2F" w14:textId="77777777" w:rsidR="00B30E04" w:rsidRPr="00AB7159" w:rsidRDefault="00B30E04" w:rsidP="00B30E04">
      <w:pPr>
        <w:rPr>
          <w:rFonts w:ascii="Arial" w:hAnsi="Arial" w:cs="Arial"/>
          <w:sz w:val="20"/>
          <w:szCs w:val="20"/>
        </w:rPr>
      </w:pPr>
      <w:r w:rsidRPr="00AB7159">
        <w:rPr>
          <w:rFonts w:ascii="Arial" w:hAnsi="Arial" w:cs="Arial"/>
          <w:sz w:val="20"/>
          <w:szCs w:val="20"/>
        </w:rPr>
        <w:tab/>
        <w:t>(b) A centralized review is when the members of a technical expert review team conduct the review from a single, centralized location.</w:t>
      </w:r>
    </w:p>
    <w:p w14:paraId="445F3A22" w14:textId="54AE627F" w:rsidR="00B30E04" w:rsidRPr="00AB7159" w:rsidRDefault="00B30E04" w:rsidP="00B30E04">
      <w:pPr>
        <w:rPr>
          <w:rFonts w:ascii="Arial" w:hAnsi="Arial" w:cs="Arial"/>
          <w:sz w:val="20"/>
          <w:szCs w:val="20"/>
        </w:rPr>
      </w:pPr>
      <w:r w:rsidRPr="00AB7159">
        <w:rPr>
          <w:rFonts w:ascii="Arial" w:hAnsi="Arial" w:cs="Arial"/>
          <w:sz w:val="20"/>
          <w:szCs w:val="20"/>
        </w:rPr>
        <w:t>Given the nature of cooperative approaches</w:t>
      </w:r>
      <w:r w:rsidR="00780150" w:rsidRPr="00AB7159">
        <w:rPr>
          <w:rFonts w:ascii="Arial" w:hAnsi="Arial" w:cs="Arial"/>
          <w:sz w:val="20"/>
          <w:szCs w:val="20"/>
        </w:rPr>
        <w:t xml:space="preserve"> that the participating Parties should provide the inter-linked information, such as the internationally transferred mitigation outcomes from the same cooperative approaches among those participating Parties</w:t>
      </w:r>
      <w:r w:rsidRPr="00AB7159">
        <w:rPr>
          <w:rFonts w:ascii="Arial" w:hAnsi="Arial" w:cs="Arial"/>
          <w:sz w:val="20"/>
          <w:szCs w:val="20"/>
        </w:rPr>
        <w:t xml:space="preserve">, we suggest that a single technical expert review team </w:t>
      </w:r>
      <w:r w:rsidR="00780150" w:rsidRPr="00AB7159">
        <w:rPr>
          <w:rFonts w:ascii="Arial" w:hAnsi="Arial" w:cs="Arial"/>
          <w:sz w:val="20"/>
          <w:szCs w:val="20"/>
        </w:rPr>
        <w:t>sh</w:t>
      </w:r>
      <w:r w:rsidRPr="00AB7159">
        <w:rPr>
          <w:rFonts w:ascii="Arial" w:hAnsi="Arial" w:cs="Arial"/>
          <w:sz w:val="20"/>
          <w:szCs w:val="20"/>
        </w:rPr>
        <w:t xml:space="preserve">ould review all participating Parties in the same cooperative approach. It would make the work of the technical expert review team more efficiently and facilitate the consistency check of information submitted by the Parties. </w:t>
      </w:r>
    </w:p>
    <w:p w14:paraId="1445F5CF" w14:textId="77777777" w:rsidR="00B30E04" w:rsidRPr="00AB7159" w:rsidRDefault="00B30E04" w:rsidP="00B30E04">
      <w:pPr>
        <w:rPr>
          <w:rFonts w:ascii="Arial" w:hAnsi="Arial" w:cs="Arial"/>
          <w:sz w:val="20"/>
          <w:szCs w:val="20"/>
        </w:rPr>
      </w:pPr>
    </w:p>
    <w:p w14:paraId="5AF3B64D" w14:textId="61FDE77D" w:rsidR="00B30E04" w:rsidRPr="003F7223" w:rsidRDefault="00B30E04" w:rsidP="003F7223">
      <w:pPr>
        <w:pStyle w:val="a5"/>
        <w:numPr>
          <w:ilvl w:val="0"/>
          <w:numId w:val="23"/>
        </w:numPr>
        <w:ind w:leftChars="0"/>
        <w:rPr>
          <w:rFonts w:ascii="Arial" w:hAnsi="Arial" w:cs="Arial"/>
          <w:b/>
          <w:sz w:val="24"/>
          <w:szCs w:val="20"/>
        </w:rPr>
      </w:pPr>
      <w:r w:rsidRPr="003F7223">
        <w:rPr>
          <w:rFonts w:ascii="Arial" w:hAnsi="Arial" w:cs="Arial"/>
          <w:b/>
          <w:sz w:val="24"/>
          <w:szCs w:val="20"/>
        </w:rPr>
        <w:t>Timeline and frequency</w:t>
      </w:r>
    </w:p>
    <w:p w14:paraId="52A59957" w14:textId="0E68AB5B" w:rsidR="00B30E04" w:rsidRPr="00AB7159" w:rsidRDefault="00B30E04" w:rsidP="00B30E04">
      <w:pPr>
        <w:rPr>
          <w:rFonts w:ascii="Arial" w:hAnsi="Arial" w:cs="Arial"/>
          <w:sz w:val="20"/>
          <w:szCs w:val="20"/>
        </w:rPr>
      </w:pPr>
      <w:r w:rsidRPr="00AB7159">
        <w:rPr>
          <w:rFonts w:ascii="Arial" w:hAnsi="Arial" w:cs="Arial"/>
          <w:sz w:val="20"/>
          <w:szCs w:val="20"/>
        </w:rPr>
        <w:t xml:space="preserve">The ROK views that the Article 6 TER should be conducted taking into account the </w:t>
      </w:r>
      <w:r w:rsidR="00D80CBD" w:rsidRPr="00AB7159">
        <w:rPr>
          <w:rFonts w:ascii="Arial" w:hAnsi="Arial" w:cs="Arial"/>
          <w:sz w:val="20"/>
          <w:szCs w:val="20"/>
        </w:rPr>
        <w:t xml:space="preserve">reporting </w:t>
      </w:r>
      <w:r w:rsidRPr="00AB7159">
        <w:rPr>
          <w:rFonts w:ascii="Arial" w:hAnsi="Arial" w:cs="Arial"/>
          <w:sz w:val="20"/>
          <w:szCs w:val="20"/>
        </w:rPr>
        <w:t>sequence</w:t>
      </w:r>
      <w:r w:rsidR="00D80CBD" w:rsidRPr="00AB7159">
        <w:rPr>
          <w:rFonts w:ascii="Arial" w:hAnsi="Arial" w:cs="Arial"/>
          <w:sz w:val="20"/>
          <w:szCs w:val="20"/>
        </w:rPr>
        <w:t xml:space="preserve"> and cycle</w:t>
      </w:r>
      <w:r w:rsidRPr="00AB7159">
        <w:rPr>
          <w:rFonts w:ascii="Arial" w:hAnsi="Arial" w:cs="Arial"/>
          <w:sz w:val="20"/>
          <w:szCs w:val="20"/>
        </w:rPr>
        <w:t xml:space="preserve"> of </w:t>
      </w:r>
      <w:r w:rsidR="00D80CBD" w:rsidRPr="00AB7159">
        <w:rPr>
          <w:rFonts w:ascii="Arial" w:hAnsi="Arial" w:cs="Arial"/>
          <w:sz w:val="20"/>
          <w:szCs w:val="20"/>
        </w:rPr>
        <w:t xml:space="preserve">the initial </w:t>
      </w:r>
      <w:r w:rsidR="00AE29EA" w:rsidRPr="00AB7159">
        <w:rPr>
          <w:rFonts w:ascii="Arial" w:hAnsi="Arial" w:cs="Arial"/>
          <w:sz w:val="20"/>
          <w:szCs w:val="20"/>
        </w:rPr>
        <w:t xml:space="preserve">report </w:t>
      </w:r>
      <w:r w:rsidR="00D80CBD" w:rsidRPr="00AB7159">
        <w:rPr>
          <w:rFonts w:ascii="Arial" w:hAnsi="Arial" w:cs="Arial"/>
          <w:sz w:val="20"/>
          <w:szCs w:val="20"/>
        </w:rPr>
        <w:t>and regular</w:t>
      </w:r>
      <w:r w:rsidRPr="00AB7159">
        <w:rPr>
          <w:rFonts w:ascii="Arial" w:hAnsi="Arial" w:cs="Arial"/>
          <w:sz w:val="20"/>
          <w:szCs w:val="20"/>
        </w:rPr>
        <w:t xml:space="preserve"> information. In this context, the review should start with the review of the initial report and be followed by the review of the regular information. </w:t>
      </w:r>
    </w:p>
    <w:p w14:paraId="73F6235F" w14:textId="38EAD2CC" w:rsidR="00B30E04" w:rsidRPr="00AB7159" w:rsidRDefault="00B30E04" w:rsidP="00B30E04">
      <w:pPr>
        <w:rPr>
          <w:rFonts w:ascii="Arial" w:hAnsi="Arial" w:cs="Arial"/>
          <w:sz w:val="20"/>
          <w:szCs w:val="20"/>
        </w:rPr>
      </w:pPr>
      <w:r w:rsidRPr="00AB7159">
        <w:rPr>
          <w:rFonts w:ascii="Arial" w:hAnsi="Arial" w:cs="Arial"/>
          <w:sz w:val="20"/>
          <w:szCs w:val="20"/>
        </w:rPr>
        <w:t>In this regard, timeline and frequency of the review of each reporting should be elaborated in the further guidance which will be adopted at CMA4. This timeline should include the timing of initiation and c</w:t>
      </w:r>
      <w:r w:rsidR="00CF4634" w:rsidRPr="00AB7159">
        <w:rPr>
          <w:rFonts w:ascii="Arial" w:hAnsi="Arial" w:cs="Arial"/>
          <w:sz w:val="20"/>
          <w:szCs w:val="20"/>
        </w:rPr>
        <w:t xml:space="preserve">ompletion of the review process. </w:t>
      </w:r>
      <w:r w:rsidRPr="00AB7159">
        <w:rPr>
          <w:rFonts w:ascii="Arial" w:hAnsi="Arial" w:cs="Arial"/>
          <w:sz w:val="20"/>
          <w:szCs w:val="20"/>
        </w:rPr>
        <w:t xml:space="preserve">Furthermore, the timeline and frequency of the Article 6 TER should be considered the </w:t>
      </w:r>
      <w:proofErr w:type="spellStart"/>
      <w:r w:rsidRPr="00AB7159">
        <w:rPr>
          <w:rFonts w:ascii="Arial" w:hAnsi="Arial" w:cs="Arial"/>
          <w:sz w:val="20"/>
          <w:szCs w:val="20"/>
        </w:rPr>
        <w:t>interlinkages</w:t>
      </w:r>
      <w:proofErr w:type="spellEnd"/>
      <w:r w:rsidRPr="00AB7159">
        <w:rPr>
          <w:rFonts w:ascii="Arial" w:hAnsi="Arial" w:cs="Arial"/>
          <w:sz w:val="20"/>
          <w:szCs w:val="20"/>
        </w:rPr>
        <w:t xml:space="preserve"> with the Article 13 TER, in particular its timeline for review process. </w:t>
      </w:r>
    </w:p>
    <w:p w14:paraId="14EFB771" w14:textId="4B5D27A4" w:rsidR="008B1D3B" w:rsidRPr="00AB7159" w:rsidRDefault="008B1D3B" w:rsidP="00B30E04">
      <w:pPr>
        <w:rPr>
          <w:rFonts w:ascii="Arial" w:hAnsi="Arial" w:cs="Arial"/>
          <w:sz w:val="20"/>
          <w:szCs w:val="20"/>
        </w:rPr>
      </w:pPr>
    </w:p>
    <w:p w14:paraId="4FC6A441" w14:textId="188B2F8A" w:rsidR="008B1D3B" w:rsidRPr="00891042" w:rsidRDefault="008B1D3B" w:rsidP="00891042">
      <w:pPr>
        <w:pStyle w:val="a5"/>
        <w:numPr>
          <w:ilvl w:val="0"/>
          <w:numId w:val="23"/>
        </w:numPr>
        <w:ind w:leftChars="0"/>
        <w:rPr>
          <w:rFonts w:ascii="Arial" w:hAnsi="Arial" w:cs="Arial"/>
          <w:b/>
          <w:bCs/>
          <w:sz w:val="24"/>
          <w:szCs w:val="20"/>
        </w:rPr>
      </w:pPr>
      <w:r w:rsidRPr="00891042">
        <w:rPr>
          <w:rFonts w:ascii="Arial" w:hAnsi="Arial" w:cs="Arial"/>
          <w:b/>
          <w:bCs/>
          <w:sz w:val="24"/>
          <w:szCs w:val="20"/>
        </w:rPr>
        <w:t>Procedures</w:t>
      </w:r>
    </w:p>
    <w:p w14:paraId="55E750F1" w14:textId="27DAC9F8" w:rsidR="00D80CBD" w:rsidRPr="00AB7159" w:rsidRDefault="008B1D3B" w:rsidP="00B30E04">
      <w:pPr>
        <w:rPr>
          <w:rFonts w:ascii="Arial" w:hAnsi="Arial" w:cs="Arial"/>
          <w:sz w:val="20"/>
          <w:szCs w:val="20"/>
        </w:rPr>
      </w:pPr>
      <w:r w:rsidRPr="00AB7159">
        <w:rPr>
          <w:rFonts w:ascii="Arial" w:hAnsi="Arial" w:cs="Arial"/>
          <w:sz w:val="20"/>
          <w:szCs w:val="20"/>
        </w:rPr>
        <w:t>T</w:t>
      </w:r>
      <w:r w:rsidR="00AE29EA" w:rsidRPr="00AB7159">
        <w:rPr>
          <w:rFonts w:ascii="Arial" w:hAnsi="Arial" w:cs="Arial"/>
          <w:sz w:val="20"/>
          <w:szCs w:val="20"/>
        </w:rPr>
        <w:t>he ROK proposes the Article 6 TER procedures for the desk and centralized reviews as below;</w:t>
      </w:r>
    </w:p>
    <w:p w14:paraId="11300DCE" w14:textId="576B3268" w:rsidR="00AE29EA" w:rsidRPr="00AB7159" w:rsidRDefault="00AE29EA" w:rsidP="00AE29EA">
      <w:pPr>
        <w:pStyle w:val="a5"/>
        <w:numPr>
          <w:ilvl w:val="0"/>
          <w:numId w:val="11"/>
        </w:numPr>
        <w:ind w:leftChars="0"/>
        <w:rPr>
          <w:rFonts w:ascii="Arial" w:hAnsi="Arial" w:cs="Arial"/>
          <w:sz w:val="20"/>
          <w:szCs w:val="20"/>
        </w:rPr>
      </w:pPr>
      <w:r w:rsidRPr="00AB7159">
        <w:rPr>
          <w:rFonts w:ascii="Arial" w:hAnsi="Arial" w:cs="Arial"/>
          <w:sz w:val="20"/>
          <w:szCs w:val="20"/>
        </w:rPr>
        <w:t>Initial report (desk review)</w:t>
      </w:r>
    </w:p>
    <w:p w14:paraId="778EABD1" w14:textId="3C449329" w:rsidR="00AE29EA" w:rsidRPr="00AB7159" w:rsidRDefault="00920D64" w:rsidP="00AE29EA">
      <w:pPr>
        <w:pStyle w:val="a5"/>
        <w:numPr>
          <w:ilvl w:val="0"/>
          <w:numId w:val="12"/>
        </w:numPr>
        <w:ind w:leftChars="0"/>
        <w:rPr>
          <w:rFonts w:ascii="Arial" w:hAnsi="Arial" w:cs="Arial"/>
          <w:sz w:val="20"/>
          <w:szCs w:val="20"/>
        </w:rPr>
      </w:pPr>
      <w:r w:rsidRPr="00AB7159">
        <w:rPr>
          <w:rFonts w:ascii="Arial" w:hAnsi="Arial" w:cs="Arial"/>
          <w:sz w:val="20"/>
          <w:szCs w:val="20"/>
        </w:rPr>
        <w:t xml:space="preserve">The secretariat shall commence the preparation of the </w:t>
      </w:r>
      <w:r w:rsidR="008B1D3B" w:rsidRPr="00AB7159">
        <w:rPr>
          <w:rFonts w:ascii="Arial" w:hAnsi="Arial" w:cs="Arial"/>
          <w:sz w:val="20"/>
          <w:szCs w:val="20"/>
        </w:rPr>
        <w:t>A6 TER</w:t>
      </w:r>
      <w:r w:rsidRPr="00AB7159">
        <w:rPr>
          <w:rFonts w:ascii="Arial" w:hAnsi="Arial" w:cs="Arial"/>
          <w:sz w:val="20"/>
          <w:szCs w:val="20"/>
        </w:rPr>
        <w:t xml:space="preserve"> process immediately following the submission of the initial report specified in chapter IV.A of the A6.2 guidance and agree with the Parties the dates of the A6 TER week at least 14 weeks prior to the </w:t>
      </w:r>
      <w:r w:rsidR="008B1D3B" w:rsidRPr="00AB7159">
        <w:rPr>
          <w:rFonts w:ascii="Arial" w:hAnsi="Arial" w:cs="Arial"/>
          <w:sz w:val="20"/>
          <w:szCs w:val="20"/>
        </w:rPr>
        <w:t>A6 TER</w:t>
      </w:r>
      <w:r w:rsidRPr="00AB7159">
        <w:rPr>
          <w:rFonts w:ascii="Arial" w:hAnsi="Arial" w:cs="Arial"/>
          <w:sz w:val="20"/>
          <w:szCs w:val="20"/>
        </w:rPr>
        <w:t xml:space="preserve"> week;</w:t>
      </w:r>
    </w:p>
    <w:p w14:paraId="39F80119" w14:textId="3CBE0AB2" w:rsidR="00920D64" w:rsidRPr="00AB7159" w:rsidRDefault="00920D64" w:rsidP="00AE29EA">
      <w:pPr>
        <w:pStyle w:val="a5"/>
        <w:numPr>
          <w:ilvl w:val="0"/>
          <w:numId w:val="12"/>
        </w:numPr>
        <w:ind w:leftChars="0"/>
        <w:rPr>
          <w:rFonts w:ascii="Arial" w:hAnsi="Arial" w:cs="Arial"/>
          <w:sz w:val="20"/>
          <w:szCs w:val="20"/>
        </w:rPr>
      </w:pPr>
      <w:r w:rsidRPr="00AB7159">
        <w:rPr>
          <w:rFonts w:ascii="Arial" w:hAnsi="Arial" w:cs="Arial"/>
          <w:sz w:val="20"/>
          <w:szCs w:val="20"/>
        </w:rPr>
        <w:t>The secretariat shall compose a</w:t>
      </w:r>
      <w:r w:rsidR="008B1D3B" w:rsidRPr="00AB7159">
        <w:rPr>
          <w:rFonts w:ascii="Arial" w:hAnsi="Arial" w:cs="Arial"/>
          <w:sz w:val="20"/>
          <w:szCs w:val="20"/>
        </w:rPr>
        <w:t xml:space="preserve"> A6</w:t>
      </w:r>
      <w:r w:rsidRPr="00AB7159">
        <w:rPr>
          <w:rFonts w:ascii="Arial" w:hAnsi="Arial" w:cs="Arial"/>
          <w:sz w:val="20"/>
          <w:szCs w:val="20"/>
        </w:rPr>
        <w:t xml:space="preserve"> </w:t>
      </w:r>
      <w:r w:rsidR="008B1D3B" w:rsidRPr="00AB7159">
        <w:rPr>
          <w:rFonts w:ascii="Arial" w:hAnsi="Arial" w:cs="Arial"/>
          <w:sz w:val="20"/>
          <w:szCs w:val="20"/>
        </w:rPr>
        <w:t>TER</w:t>
      </w:r>
      <w:r w:rsidRPr="00AB7159">
        <w:rPr>
          <w:rFonts w:ascii="Arial" w:hAnsi="Arial" w:cs="Arial"/>
          <w:sz w:val="20"/>
          <w:szCs w:val="20"/>
        </w:rPr>
        <w:t xml:space="preserve"> team at least 10 weeks prior to the </w:t>
      </w:r>
      <w:r w:rsidR="008B1D3B" w:rsidRPr="00AB7159">
        <w:rPr>
          <w:rFonts w:ascii="Arial" w:hAnsi="Arial" w:cs="Arial"/>
          <w:sz w:val="20"/>
          <w:szCs w:val="20"/>
        </w:rPr>
        <w:t>A6 TER</w:t>
      </w:r>
      <w:r w:rsidRPr="00AB7159">
        <w:rPr>
          <w:rFonts w:ascii="Arial" w:hAnsi="Arial" w:cs="Arial"/>
          <w:sz w:val="20"/>
          <w:szCs w:val="20"/>
        </w:rPr>
        <w:t xml:space="preserve"> week;</w:t>
      </w:r>
    </w:p>
    <w:p w14:paraId="798B10C4" w14:textId="77E0463F" w:rsidR="00920D64" w:rsidRPr="00AB7159" w:rsidRDefault="00920D64" w:rsidP="00AE29EA">
      <w:pPr>
        <w:pStyle w:val="a5"/>
        <w:numPr>
          <w:ilvl w:val="0"/>
          <w:numId w:val="12"/>
        </w:numPr>
        <w:ind w:leftChars="0"/>
        <w:rPr>
          <w:rFonts w:ascii="Arial" w:hAnsi="Arial" w:cs="Arial"/>
          <w:sz w:val="20"/>
          <w:szCs w:val="20"/>
        </w:rPr>
      </w:pPr>
      <w:r w:rsidRPr="00AB7159">
        <w:rPr>
          <w:rFonts w:ascii="Arial" w:hAnsi="Arial" w:cs="Arial"/>
          <w:sz w:val="20"/>
          <w:szCs w:val="20"/>
        </w:rPr>
        <w:t xml:space="preserve">The </w:t>
      </w:r>
      <w:r w:rsidR="008B1D3B" w:rsidRPr="00AB7159">
        <w:rPr>
          <w:rFonts w:ascii="Arial" w:hAnsi="Arial" w:cs="Arial"/>
          <w:sz w:val="20"/>
          <w:szCs w:val="20"/>
        </w:rPr>
        <w:t>A6 TER</w:t>
      </w:r>
      <w:r w:rsidRPr="00AB7159">
        <w:rPr>
          <w:rFonts w:ascii="Arial" w:hAnsi="Arial" w:cs="Arial"/>
          <w:sz w:val="20"/>
          <w:szCs w:val="20"/>
        </w:rPr>
        <w:t xml:space="preserve"> team should communicate any preliminary questions to the Party at least 4 weeks prior to the </w:t>
      </w:r>
      <w:r w:rsidR="008B1D3B" w:rsidRPr="00AB7159">
        <w:rPr>
          <w:rFonts w:ascii="Arial" w:hAnsi="Arial" w:cs="Arial"/>
          <w:sz w:val="20"/>
          <w:szCs w:val="20"/>
        </w:rPr>
        <w:t>A6 TER week. The A6 TER team may request additional information before or during the A6 TER week</w:t>
      </w:r>
      <w:r w:rsidR="00B65584" w:rsidRPr="00AB7159">
        <w:rPr>
          <w:rFonts w:ascii="Arial" w:hAnsi="Arial" w:cs="Arial"/>
          <w:sz w:val="20"/>
          <w:szCs w:val="20"/>
        </w:rPr>
        <w:t>;</w:t>
      </w:r>
    </w:p>
    <w:p w14:paraId="32445E1C" w14:textId="354EF542" w:rsidR="008B1D3B" w:rsidRPr="00AB7159" w:rsidRDefault="008B1D3B" w:rsidP="00AE29EA">
      <w:pPr>
        <w:pStyle w:val="a5"/>
        <w:numPr>
          <w:ilvl w:val="0"/>
          <w:numId w:val="12"/>
        </w:numPr>
        <w:ind w:leftChars="0"/>
        <w:rPr>
          <w:rFonts w:ascii="Arial" w:hAnsi="Arial" w:cs="Arial"/>
          <w:sz w:val="20"/>
          <w:szCs w:val="20"/>
        </w:rPr>
      </w:pPr>
      <w:r w:rsidRPr="00AB7159">
        <w:rPr>
          <w:rFonts w:ascii="Arial" w:hAnsi="Arial" w:cs="Arial"/>
          <w:sz w:val="20"/>
          <w:szCs w:val="20"/>
        </w:rPr>
        <w:t>The A6 TER team shall communicate to the Party concerned draft areas of improvement, constituting preliminary “recommendations”</w:t>
      </w:r>
      <w:r w:rsidR="00B65584" w:rsidRPr="00AB7159">
        <w:rPr>
          <w:rFonts w:ascii="Arial" w:hAnsi="Arial" w:cs="Arial"/>
          <w:sz w:val="20"/>
          <w:szCs w:val="20"/>
        </w:rPr>
        <w:t>;</w:t>
      </w:r>
    </w:p>
    <w:p w14:paraId="0F1A9CD6" w14:textId="3F9C14CB" w:rsidR="008B1D3B" w:rsidRPr="00AB7159" w:rsidRDefault="008B1D3B" w:rsidP="00AE29EA">
      <w:pPr>
        <w:pStyle w:val="a5"/>
        <w:numPr>
          <w:ilvl w:val="0"/>
          <w:numId w:val="12"/>
        </w:numPr>
        <w:ind w:leftChars="0"/>
        <w:rPr>
          <w:rFonts w:ascii="Arial" w:hAnsi="Arial" w:cs="Arial"/>
          <w:sz w:val="20"/>
          <w:szCs w:val="20"/>
        </w:rPr>
      </w:pPr>
      <w:r w:rsidRPr="00AB7159">
        <w:rPr>
          <w:rFonts w:ascii="Arial" w:hAnsi="Arial" w:cs="Arial"/>
          <w:sz w:val="20"/>
          <w:szCs w:val="20"/>
        </w:rPr>
        <w:t xml:space="preserve">The </w:t>
      </w:r>
      <w:r w:rsidR="00B65584" w:rsidRPr="00AB7159">
        <w:rPr>
          <w:rFonts w:ascii="Arial" w:hAnsi="Arial" w:cs="Arial"/>
          <w:sz w:val="20"/>
          <w:szCs w:val="20"/>
        </w:rPr>
        <w:t>A6 TER team shall, under its collective responsibility, prepare a draft A6 TER report on the initial reports and through the secretariat send it to the Party concerned for comment within 2 months of the A6 TER week;</w:t>
      </w:r>
    </w:p>
    <w:p w14:paraId="17C2D144" w14:textId="61D6847D" w:rsidR="00B65584" w:rsidRPr="00AB7159" w:rsidRDefault="00B65584" w:rsidP="00AE29EA">
      <w:pPr>
        <w:pStyle w:val="a5"/>
        <w:numPr>
          <w:ilvl w:val="0"/>
          <w:numId w:val="12"/>
        </w:numPr>
        <w:ind w:leftChars="0"/>
        <w:rPr>
          <w:rFonts w:ascii="Arial" w:hAnsi="Arial" w:cs="Arial"/>
          <w:sz w:val="20"/>
          <w:szCs w:val="20"/>
        </w:rPr>
      </w:pPr>
      <w:r w:rsidRPr="00AB7159">
        <w:rPr>
          <w:rFonts w:ascii="Arial" w:hAnsi="Arial" w:cs="Arial"/>
          <w:sz w:val="20"/>
          <w:szCs w:val="20"/>
        </w:rPr>
        <w:t>The Party concerned shall then be given up to one month from its receipt to provide comments;</w:t>
      </w:r>
    </w:p>
    <w:p w14:paraId="7DA599F4" w14:textId="0338378A" w:rsidR="00B65584" w:rsidRPr="00AB7159" w:rsidRDefault="00B65584" w:rsidP="00AE29EA">
      <w:pPr>
        <w:pStyle w:val="a5"/>
        <w:numPr>
          <w:ilvl w:val="0"/>
          <w:numId w:val="12"/>
        </w:numPr>
        <w:ind w:leftChars="0"/>
        <w:rPr>
          <w:rFonts w:ascii="Arial" w:hAnsi="Arial" w:cs="Arial"/>
          <w:sz w:val="20"/>
          <w:szCs w:val="20"/>
        </w:rPr>
      </w:pPr>
      <w:r w:rsidRPr="00AB7159">
        <w:rPr>
          <w:rFonts w:ascii="Arial" w:hAnsi="Arial" w:cs="Arial"/>
          <w:sz w:val="20"/>
          <w:szCs w:val="20"/>
        </w:rPr>
        <w:t>The A6 TER team shall prepare the final version of the A6 TER report, taking into account the comments of the Party, within 1 month of receipt of the comments;</w:t>
      </w:r>
    </w:p>
    <w:p w14:paraId="39B26F7D" w14:textId="30E38B88" w:rsidR="00AE29EA" w:rsidRPr="00AB7159" w:rsidRDefault="00B65584" w:rsidP="00AE29EA">
      <w:pPr>
        <w:pStyle w:val="a5"/>
        <w:numPr>
          <w:ilvl w:val="0"/>
          <w:numId w:val="12"/>
        </w:numPr>
        <w:ind w:leftChars="0"/>
        <w:rPr>
          <w:rFonts w:ascii="Arial" w:hAnsi="Arial" w:cs="Arial"/>
          <w:sz w:val="20"/>
          <w:szCs w:val="20"/>
        </w:rPr>
      </w:pPr>
      <w:r w:rsidRPr="00AB7159">
        <w:rPr>
          <w:rFonts w:ascii="Arial" w:hAnsi="Arial" w:cs="Arial"/>
          <w:sz w:val="20"/>
          <w:szCs w:val="20"/>
        </w:rPr>
        <w:t xml:space="preserve">Taking into account the procedures in the preceding paragraphs, the </w:t>
      </w:r>
      <w:r w:rsidR="00EE6721" w:rsidRPr="00AB7159">
        <w:rPr>
          <w:rFonts w:ascii="Arial" w:hAnsi="Arial" w:cs="Arial"/>
          <w:sz w:val="20"/>
          <w:szCs w:val="20"/>
        </w:rPr>
        <w:t xml:space="preserve">A6 TER team shall make every effort to complete the A6 TER report as early as </w:t>
      </w:r>
      <w:proofErr w:type="gramStart"/>
      <w:r w:rsidR="00EE6721" w:rsidRPr="00AB7159">
        <w:rPr>
          <w:rFonts w:ascii="Arial" w:hAnsi="Arial" w:cs="Arial"/>
          <w:sz w:val="20"/>
          <w:szCs w:val="20"/>
        </w:rPr>
        <w:t>possible and</w:t>
      </w:r>
      <w:proofErr w:type="gramEnd"/>
      <w:r w:rsidR="00EE6721" w:rsidRPr="00AB7159">
        <w:rPr>
          <w:rFonts w:ascii="Arial" w:hAnsi="Arial" w:cs="Arial"/>
          <w:sz w:val="20"/>
          <w:szCs w:val="20"/>
        </w:rPr>
        <w:t xml:space="preserve"> no later than 12 months </w:t>
      </w:r>
      <w:r w:rsidR="00EE6721" w:rsidRPr="00AB7159">
        <w:rPr>
          <w:rFonts w:ascii="Arial" w:hAnsi="Arial" w:cs="Arial"/>
          <w:sz w:val="20"/>
          <w:szCs w:val="20"/>
        </w:rPr>
        <w:lastRenderedPageBreak/>
        <w:t xml:space="preserve">from the start of the </w:t>
      </w:r>
      <w:r w:rsidR="00936736" w:rsidRPr="00AB7159">
        <w:rPr>
          <w:rFonts w:ascii="Arial" w:hAnsi="Arial" w:cs="Arial"/>
          <w:sz w:val="20"/>
          <w:szCs w:val="20"/>
        </w:rPr>
        <w:t>A6 TER</w:t>
      </w:r>
      <w:r w:rsidR="00EE6721" w:rsidRPr="00AB7159">
        <w:rPr>
          <w:rFonts w:ascii="Arial" w:hAnsi="Arial" w:cs="Arial"/>
          <w:sz w:val="20"/>
          <w:szCs w:val="20"/>
        </w:rPr>
        <w:t xml:space="preserve"> process.</w:t>
      </w:r>
    </w:p>
    <w:p w14:paraId="0168DD87" w14:textId="324D79B5" w:rsidR="00AE29EA" w:rsidRPr="00AB7159" w:rsidRDefault="00AE29EA" w:rsidP="00AE29EA">
      <w:pPr>
        <w:pStyle w:val="a5"/>
        <w:numPr>
          <w:ilvl w:val="0"/>
          <w:numId w:val="11"/>
        </w:numPr>
        <w:ind w:leftChars="0"/>
        <w:rPr>
          <w:rFonts w:ascii="Arial" w:hAnsi="Arial" w:cs="Arial"/>
          <w:sz w:val="20"/>
          <w:szCs w:val="20"/>
        </w:rPr>
      </w:pPr>
      <w:r w:rsidRPr="00AB7159">
        <w:rPr>
          <w:rFonts w:ascii="Arial" w:hAnsi="Arial" w:cs="Arial"/>
          <w:sz w:val="20"/>
          <w:szCs w:val="20"/>
        </w:rPr>
        <w:t>Regular information</w:t>
      </w:r>
      <w:r w:rsidR="00920D64" w:rsidRPr="00AB7159">
        <w:rPr>
          <w:rFonts w:ascii="Arial" w:hAnsi="Arial" w:cs="Arial"/>
          <w:sz w:val="20"/>
          <w:szCs w:val="20"/>
        </w:rPr>
        <w:t xml:space="preserve"> (</w:t>
      </w:r>
      <w:r w:rsidR="00EE6721" w:rsidRPr="00AB7159">
        <w:rPr>
          <w:rFonts w:ascii="Arial" w:hAnsi="Arial" w:cs="Arial"/>
          <w:sz w:val="20"/>
          <w:szCs w:val="20"/>
        </w:rPr>
        <w:t>desk or centralized review)</w:t>
      </w:r>
    </w:p>
    <w:p w14:paraId="2BA75D32" w14:textId="20003096" w:rsidR="00D80CBD" w:rsidRPr="00AB7159" w:rsidRDefault="00936736" w:rsidP="00936736">
      <w:pPr>
        <w:pStyle w:val="a5"/>
        <w:numPr>
          <w:ilvl w:val="0"/>
          <w:numId w:val="12"/>
        </w:numPr>
        <w:ind w:leftChars="0"/>
        <w:rPr>
          <w:rFonts w:ascii="Arial" w:hAnsi="Arial" w:cs="Arial"/>
          <w:sz w:val="20"/>
          <w:szCs w:val="20"/>
        </w:rPr>
      </w:pPr>
      <w:r w:rsidRPr="00AB7159">
        <w:rPr>
          <w:rFonts w:ascii="Arial" w:hAnsi="Arial" w:cs="Arial"/>
          <w:sz w:val="20"/>
          <w:szCs w:val="20"/>
        </w:rPr>
        <w:t>A6 TER team on regular information should be part of A13 TER on the biennial transparency report (BTR) and follow exactly the same process of the A13 TER.</w:t>
      </w:r>
    </w:p>
    <w:p w14:paraId="4254AA55" w14:textId="746A04AC" w:rsidR="00936736" w:rsidRPr="00AB7159" w:rsidRDefault="00936736" w:rsidP="00936736">
      <w:pPr>
        <w:pStyle w:val="a5"/>
        <w:numPr>
          <w:ilvl w:val="0"/>
          <w:numId w:val="12"/>
        </w:numPr>
        <w:ind w:leftChars="0"/>
        <w:rPr>
          <w:rFonts w:ascii="Arial" w:hAnsi="Arial" w:cs="Arial"/>
          <w:sz w:val="20"/>
          <w:szCs w:val="20"/>
        </w:rPr>
      </w:pPr>
      <w:r w:rsidRPr="00AB7159">
        <w:rPr>
          <w:rFonts w:ascii="Arial" w:hAnsi="Arial" w:cs="Arial"/>
          <w:sz w:val="20"/>
          <w:szCs w:val="20"/>
        </w:rPr>
        <w:t>In case, a participating party will undergo an in-country review, A6 TER team shall take the desk review on the participating party and other participating parties in the same cooperative approaches.</w:t>
      </w:r>
    </w:p>
    <w:p w14:paraId="2EF3DC26" w14:textId="0B7EEC4C" w:rsidR="00D80CBD" w:rsidRPr="00AB7159" w:rsidRDefault="00D80CBD" w:rsidP="00B30E04">
      <w:pPr>
        <w:rPr>
          <w:rFonts w:ascii="Arial" w:hAnsi="Arial" w:cs="Arial"/>
          <w:sz w:val="20"/>
          <w:szCs w:val="20"/>
        </w:rPr>
      </w:pPr>
    </w:p>
    <w:p w14:paraId="1F3BE0B9" w14:textId="4D6AD93A" w:rsidR="00F23B01" w:rsidRPr="00F95013" w:rsidRDefault="00F23B01" w:rsidP="00F95013">
      <w:pPr>
        <w:pStyle w:val="a5"/>
        <w:numPr>
          <w:ilvl w:val="0"/>
          <w:numId w:val="23"/>
        </w:numPr>
        <w:ind w:leftChars="0"/>
        <w:rPr>
          <w:rFonts w:ascii="Arial" w:hAnsi="Arial" w:cs="Arial"/>
          <w:b/>
          <w:bCs/>
          <w:sz w:val="24"/>
          <w:szCs w:val="20"/>
        </w:rPr>
      </w:pPr>
      <w:r w:rsidRPr="00F95013">
        <w:rPr>
          <w:rFonts w:ascii="Arial" w:hAnsi="Arial" w:cs="Arial"/>
          <w:b/>
          <w:bCs/>
          <w:sz w:val="24"/>
          <w:szCs w:val="20"/>
        </w:rPr>
        <w:t>Confidentiality</w:t>
      </w:r>
    </w:p>
    <w:p w14:paraId="22E999E1" w14:textId="326C715C" w:rsidR="00F23B01" w:rsidRPr="00AB7159" w:rsidRDefault="00F23B01" w:rsidP="00B30E04">
      <w:pPr>
        <w:rPr>
          <w:rFonts w:ascii="Arial" w:hAnsi="Arial" w:cs="Arial"/>
          <w:sz w:val="20"/>
          <w:szCs w:val="20"/>
        </w:rPr>
      </w:pPr>
      <w:r w:rsidRPr="00AB7159">
        <w:rPr>
          <w:rFonts w:ascii="Arial" w:hAnsi="Arial" w:cs="Arial"/>
          <w:sz w:val="20"/>
          <w:szCs w:val="20"/>
        </w:rPr>
        <w:t>A Party may designate information provided to the A6 TER teams during the review as confidential. In such a case, the Party should provide the basis for protecting such information. In this case, technical expert review teams and the secretariat shall not make the information publicly available. The obligation of the members of the A6 TER team to maintain confidentiality continues after the completion of the A6 TER.</w:t>
      </w:r>
    </w:p>
    <w:p w14:paraId="581DCF3F" w14:textId="0EEB9823" w:rsidR="00F23B01" w:rsidRPr="00AB7159" w:rsidRDefault="00F23B01" w:rsidP="00B30E04">
      <w:pPr>
        <w:rPr>
          <w:rFonts w:ascii="Arial" w:hAnsi="Arial" w:cs="Arial"/>
          <w:sz w:val="20"/>
          <w:szCs w:val="20"/>
        </w:rPr>
      </w:pPr>
    </w:p>
    <w:p w14:paraId="7F3831D4" w14:textId="1251F9B7" w:rsidR="00E93AEE" w:rsidRPr="00F95013" w:rsidRDefault="00E93AEE" w:rsidP="00F95013">
      <w:pPr>
        <w:pStyle w:val="a5"/>
        <w:numPr>
          <w:ilvl w:val="0"/>
          <w:numId w:val="23"/>
        </w:numPr>
        <w:ind w:leftChars="0"/>
        <w:rPr>
          <w:rFonts w:ascii="Arial" w:hAnsi="Arial" w:cs="Arial"/>
          <w:b/>
          <w:bCs/>
          <w:sz w:val="24"/>
          <w:szCs w:val="20"/>
        </w:rPr>
      </w:pPr>
      <w:r w:rsidRPr="00F95013">
        <w:rPr>
          <w:rFonts w:ascii="Arial" w:hAnsi="Arial" w:cs="Arial"/>
          <w:b/>
          <w:bCs/>
          <w:sz w:val="24"/>
          <w:szCs w:val="20"/>
        </w:rPr>
        <w:t>Role of the Party</w:t>
      </w:r>
    </w:p>
    <w:p w14:paraId="0DB78F51" w14:textId="398EC812" w:rsidR="00E93AEE" w:rsidRPr="00AB7159" w:rsidRDefault="00E93AEE" w:rsidP="00B30E04">
      <w:pPr>
        <w:rPr>
          <w:rFonts w:ascii="Arial" w:hAnsi="Arial" w:cs="Arial"/>
          <w:sz w:val="20"/>
          <w:szCs w:val="20"/>
        </w:rPr>
      </w:pPr>
      <w:r w:rsidRPr="00AB7159">
        <w:rPr>
          <w:rFonts w:ascii="Arial" w:hAnsi="Arial" w:cs="Arial"/>
          <w:sz w:val="20"/>
          <w:szCs w:val="20"/>
        </w:rPr>
        <w:t>The party concerned shall cooperate with the A6 TER team and the secretariat and make every reasonable effort to respond to all questions and provide additional clarifying information and comments to the technical expert review reports in a timely manner.</w:t>
      </w:r>
    </w:p>
    <w:p w14:paraId="20C4D0E6" w14:textId="377174CD" w:rsidR="00E93AEE" w:rsidRPr="00AB7159" w:rsidRDefault="00E93AEE" w:rsidP="00B30E04">
      <w:pPr>
        <w:rPr>
          <w:rFonts w:ascii="Arial" w:hAnsi="Arial" w:cs="Arial"/>
          <w:sz w:val="20"/>
          <w:szCs w:val="20"/>
        </w:rPr>
      </w:pPr>
    </w:p>
    <w:p w14:paraId="169AB364" w14:textId="130BD3CA" w:rsidR="00FB17BC" w:rsidRPr="00F95013" w:rsidRDefault="00FB17BC" w:rsidP="00F95013">
      <w:pPr>
        <w:pStyle w:val="a5"/>
        <w:numPr>
          <w:ilvl w:val="0"/>
          <w:numId w:val="23"/>
        </w:numPr>
        <w:ind w:leftChars="0"/>
        <w:rPr>
          <w:rFonts w:ascii="Arial" w:hAnsi="Arial" w:cs="Arial"/>
          <w:b/>
          <w:bCs/>
          <w:sz w:val="24"/>
          <w:szCs w:val="20"/>
        </w:rPr>
      </w:pPr>
      <w:r w:rsidRPr="00F95013">
        <w:rPr>
          <w:rFonts w:ascii="Arial" w:hAnsi="Arial" w:cs="Arial"/>
          <w:b/>
          <w:bCs/>
          <w:sz w:val="24"/>
          <w:szCs w:val="20"/>
        </w:rPr>
        <w:t>Role of the secretariat</w:t>
      </w:r>
    </w:p>
    <w:p w14:paraId="09D1F8AF" w14:textId="2692A4D7" w:rsidR="008A3B46" w:rsidRPr="00AB7159" w:rsidRDefault="00FB17BC" w:rsidP="008A3B46">
      <w:pPr>
        <w:widowControl/>
        <w:wordWrap/>
        <w:autoSpaceDE/>
        <w:autoSpaceDN/>
        <w:rPr>
          <w:rFonts w:ascii="Arial" w:eastAsia="나눔고딕" w:hAnsi="Arial" w:cs="Arial"/>
          <w:b/>
          <w:sz w:val="20"/>
          <w:szCs w:val="20"/>
        </w:rPr>
      </w:pPr>
      <w:r w:rsidRPr="00AB7159">
        <w:rPr>
          <w:rFonts w:ascii="Arial" w:hAnsi="Arial" w:cs="Arial"/>
          <w:sz w:val="20"/>
          <w:szCs w:val="20"/>
        </w:rPr>
        <w:t>The secretariat shall organize technical expert reviews, including the coordination of a schedule, logistical and administrative arrangements of the A6 TER and provision of A6 review tool and materials to the A6 TER</w:t>
      </w:r>
      <w:r w:rsidR="008A3B46" w:rsidRPr="00AB7159">
        <w:rPr>
          <w:rFonts w:ascii="Arial" w:hAnsi="Arial" w:cs="Arial"/>
          <w:sz w:val="20"/>
          <w:szCs w:val="20"/>
        </w:rPr>
        <w:t xml:space="preserve"> as a part of the whole Article 13 technical expert review.</w:t>
      </w:r>
    </w:p>
    <w:p w14:paraId="49B4324F" w14:textId="77777777" w:rsidR="00FB17BC" w:rsidRPr="00AB7159" w:rsidRDefault="00FB17BC" w:rsidP="00B30E04">
      <w:pPr>
        <w:rPr>
          <w:rFonts w:ascii="Arial" w:hAnsi="Arial" w:cs="Arial"/>
          <w:sz w:val="20"/>
          <w:szCs w:val="20"/>
        </w:rPr>
      </w:pPr>
    </w:p>
    <w:p w14:paraId="564864EB" w14:textId="596DA9EA" w:rsidR="00FE1331" w:rsidRPr="00F651AB" w:rsidRDefault="00B30E04" w:rsidP="00F651AB">
      <w:pPr>
        <w:pStyle w:val="a5"/>
        <w:numPr>
          <w:ilvl w:val="0"/>
          <w:numId w:val="23"/>
        </w:numPr>
        <w:ind w:leftChars="0"/>
        <w:rPr>
          <w:rFonts w:ascii="Arial" w:hAnsi="Arial" w:cs="Arial"/>
          <w:b/>
          <w:sz w:val="24"/>
          <w:szCs w:val="20"/>
        </w:rPr>
      </w:pPr>
      <w:r w:rsidRPr="00F651AB">
        <w:rPr>
          <w:rFonts w:ascii="Arial" w:hAnsi="Arial" w:cs="Arial"/>
          <w:b/>
          <w:sz w:val="24"/>
          <w:szCs w:val="20"/>
        </w:rPr>
        <w:t>Article 6 TER team</w:t>
      </w:r>
    </w:p>
    <w:p w14:paraId="69B6060E" w14:textId="731C8CD8" w:rsidR="00FE1331" w:rsidRPr="00AB7159" w:rsidRDefault="00FE1331" w:rsidP="00B30E04">
      <w:pPr>
        <w:rPr>
          <w:rFonts w:ascii="Arial" w:hAnsi="Arial" w:cs="Arial"/>
          <w:sz w:val="20"/>
          <w:szCs w:val="20"/>
        </w:rPr>
      </w:pPr>
      <w:r w:rsidRPr="00AB7159">
        <w:rPr>
          <w:rFonts w:ascii="Arial" w:hAnsi="Arial" w:cs="Arial"/>
          <w:sz w:val="20"/>
          <w:szCs w:val="20"/>
        </w:rPr>
        <w:t xml:space="preserve">Article 6 technical experts shall be nominated to the UNFCCC roster of experts by Parties and, as appropriate, by intergovernmental organizations and they shall pass an exam at the end of the training </w:t>
      </w:r>
      <w:proofErr w:type="spellStart"/>
      <w:r w:rsidRPr="00AB7159">
        <w:rPr>
          <w:rFonts w:ascii="Arial" w:hAnsi="Arial" w:cs="Arial"/>
          <w:sz w:val="20"/>
          <w:szCs w:val="20"/>
        </w:rPr>
        <w:t>programme</w:t>
      </w:r>
      <w:proofErr w:type="spellEnd"/>
      <w:r w:rsidRPr="00AB7159">
        <w:rPr>
          <w:rFonts w:ascii="Arial" w:hAnsi="Arial" w:cs="Arial"/>
          <w:sz w:val="20"/>
          <w:szCs w:val="20"/>
        </w:rPr>
        <w:t xml:space="preserve"> after completing the appropriate training </w:t>
      </w:r>
      <w:proofErr w:type="spellStart"/>
      <w:r w:rsidRPr="00AB7159">
        <w:rPr>
          <w:rFonts w:ascii="Arial" w:hAnsi="Arial" w:cs="Arial"/>
          <w:sz w:val="20"/>
          <w:szCs w:val="20"/>
        </w:rPr>
        <w:t>programme</w:t>
      </w:r>
      <w:proofErr w:type="spellEnd"/>
      <w:r w:rsidRPr="00AB7159">
        <w:rPr>
          <w:rFonts w:ascii="Arial" w:hAnsi="Arial" w:cs="Arial"/>
          <w:sz w:val="20"/>
          <w:szCs w:val="20"/>
        </w:rPr>
        <w:t xml:space="preserve"> to become eligible for Article 6 TER.</w:t>
      </w:r>
    </w:p>
    <w:p w14:paraId="7DCD1D52" w14:textId="6ACB6CB2" w:rsidR="00B30E04" w:rsidRPr="00AB7159" w:rsidRDefault="00FB17BC" w:rsidP="00B30E04">
      <w:pPr>
        <w:rPr>
          <w:rFonts w:ascii="Arial" w:hAnsi="Arial" w:cs="Arial"/>
          <w:sz w:val="20"/>
          <w:szCs w:val="20"/>
        </w:rPr>
      </w:pPr>
      <w:r w:rsidRPr="00AB7159">
        <w:rPr>
          <w:rFonts w:ascii="Arial" w:hAnsi="Arial" w:cs="Arial"/>
          <w:sz w:val="20"/>
          <w:szCs w:val="20"/>
        </w:rPr>
        <w:t>T</w:t>
      </w:r>
      <w:r w:rsidR="00B30E04" w:rsidRPr="00AB7159">
        <w:rPr>
          <w:rFonts w:ascii="Arial" w:hAnsi="Arial" w:cs="Arial"/>
          <w:sz w:val="20"/>
          <w:szCs w:val="20"/>
        </w:rPr>
        <w:t xml:space="preserve">he Article 6 TER team could </w:t>
      </w:r>
      <w:r w:rsidRPr="00AB7159">
        <w:rPr>
          <w:rFonts w:ascii="Arial" w:hAnsi="Arial" w:cs="Arial"/>
          <w:sz w:val="20"/>
          <w:szCs w:val="20"/>
        </w:rPr>
        <w:t xml:space="preserve">be </w:t>
      </w:r>
      <w:r w:rsidR="00B30E04" w:rsidRPr="00AB7159">
        <w:rPr>
          <w:rFonts w:ascii="Arial" w:hAnsi="Arial" w:cs="Arial"/>
          <w:sz w:val="20"/>
          <w:szCs w:val="20"/>
        </w:rPr>
        <w:t xml:space="preserve">composed of two technical experts taking into account the format (desk or centralized review) and workload. In case of a cooperative approach which more than three Parties participate, additional technical expert can be nominated. The Article 6 TER team needs to have the </w:t>
      </w:r>
      <w:r w:rsidRPr="00AB7159">
        <w:rPr>
          <w:rFonts w:ascii="Arial" w:hAnsi="Arial" w:cs="Arial"/>
          <w:sz w:val="20"/>
          <w:szCs w:val="20"/>
        </w:rPr>
        <w:t xml:space="preserve">recognized competence and </w:t>
      </w:r>
      <w:r w:rsidR="00B30E04" w:rsidRPr="00AB7159">
        <w:rPr>
          <w:rFonts w:ascii="Arial" w:hAnsi="Arial" w:cs="Arial"/>
          <w:sz w:val="20"/>
          <w:szCs w:val="20"/>
        </w:rPr>
        <w:t xml:space="preserve">collective skills to meet the requirements for review and to provide meaningful recommendations to the reviewed Parties. When composing the review team, the balance between developed and developing Party, regions and gender should be considered. </w:t>
      </w:r>
    </w:p>
    <w:p w14:paraId="40EAC4C1" w14:textId="77777777" w:rsidR="00B30E04" w:rsidRPr="00AB7159" w:rsidRDefault="00B30E04" w:rsidP="00B30E04">
      <w:pPr>
        <w:rPr>
          <w:rFonts w:ascii="Arial" w:hAnsi="Arial" w:cs="Arial"/>
          <w:sz w:val="20"/>
          <w:szCs w:val="20"/>
        </w:rPr>
      </w:pPr>
    </w:p>
    <w:p w14:paraId="098B0499" w14:textId="12DDDF9F" w:rsidR="00B30E04" w:rsidRPr="00F651AB" w:rsidRDefault="00B30E04" w:rsidP="00F651AB">
      <w:pPr>
        <w:pStyle w:val="a5"/>
        <w:numPr>
          <w:ilvl w:val="0"/>
          <w:numId w:val="23"/>
        </w:numPr>
        <w:ind w:leftChars="0"/>
        <w:rPr>
          <w:rFonts w:ascii="Arial" w:hAnsi="Arial" w:cs="Arial"/>
          <w:b/>
          <w:sz w:val="24"/>
          <w:szCs w:val="20"/>
        </w:rPr>
      </w:pPr>
      <w:r w:rsidRPr="00F651AB">
        <w:rPr>
          <w:rFonts w:ascii="Arial" w:hAnsi="Arial" w:cs="Arial"/>
          <w:b/>
          <w:sz w:val="24"/>
          <w:szCs w:val="20"/>
        </w:rPr>
        <w:t>Article 6 TER report</w:t>
      </w:r>
    </w:p>
    <w:p w14:paraId="353C04F3" w14:textId="77777777" w:rsidR="00B30E04" w:rsidRPr="00AB7159" w:rsidRDefault="00B30E04" w:rsidP="00B30E04">
      <w:pPr>
        <w:rPr>
          <w:rFonts w:ascii="Arial" w:hAnsi="Arial" w:cs="Arial"/>
          <w:sz w:val="20"/>
          <w:szCs w:val="20"/>
        </w:rPr>
      </w:pPr>
      <w:r w:rsidRPr="00AB7159">
        <w:rPr>
          <w:rFonts w:ascii="Arial" w:hAnsi="Arial" w:cs="Arial"/>
          <w:sz w:val="20"/>
          <w:szCs w:val="20"/>
        </w:rPr>
        <w:t xml:space="preserve">The Article 6 TER team should prepare the review report for the review cooperative approach and the report should contain the recommendations for the future enhancement. These recommendations need to include ways to improve consistency with the A6.2 guidance and with respect to inconsistencies in the quantified information as it relates to the information of other Parties. </w:t>
      </w:r>
    </w:p>
    <w:p w14:paraId="5A96ADED" w14:textId="77777777" w:rsidR="00B30E04" w:rsidRPr="00AB7159" w:rsidRDefault="00B30E04" w:rsidP="00B30E04">
      <w:pPr>
        <w:rPr>
          <w:rFonts w:ascii="Arial" w:hAnsi="Arial" w:cs="Arial"/>
          <w:sz w:val="20"/>
          <w:szCs w:val="20"/>
        </w:rPr>
      </w:pPr>
    </w:p>
    <w:p w14:paraId="619B3A28" w14:textId="074745A7" w:rsidR="00B30E04" w:rsidRPr="00F651AB" w:rsidRDefault="00B30E04" w:rsidP="00F651AB">
      <w:pPr>
        <w:pStyle w:val="a5"/>
        <w:numPr>
          <w:ilvl w:val="0"/>
          <w:numId w:val="23"/>
        </w:numPr>
        <w:ind w:leftChars="0"/>
        <w:rPr>
          <w:rFonts w:ascii="Arial" w:hAnsi="Arial" w:cs="Arial"/>
          <w:b/>
          <w:sz w:val="24"/>
          <w:szCs w:val="20"/>
        </w:rPr>
      </w:pPr>
      <w:proofErr w:type="spellStart"/>
      <w:r w:rsidRPr="00F651AB">
        <w:rPr>
          <w:rFonts w:ascii="Arial" w:hAnsi="Arial" w:cs="Arial"/>
          <w:b/>
          <w:sz w:val="24"/>
          <w:szCs w:val="20"/>
        </w:rPr>
        <w:t>Interlinkage</w:t>
      </w:r>
      <w:proofErr w:type="spellEnd"/>
      <w:r w:rsidRPr="00F651AB">
        <w:rPr>
          <w:rFonts w:ascii="Arial" w:hAnsi="Arial" w:cs="Arial"/>
          <w:b/>
          <w:sz w:val="24"/>
          <w:szCs w:val="20"/>
        </w:rPr>
        <w:t xml:space="preserve"> with the Article 13 TER</w:t>
      </w:r>
    </w:p>
    <w:p w14:paraId="1B13014D" w14:textId="77777777" w:rsidR="00B30E04" w:rsidRPr="00AB7159" w:rsidRDefault="00B30E04" w:rsidP="00B30E04">
      <w:pPr>
        <w:rPr>
          <w:rFonts w:ascii="Arial" w:hAnsi="Arial" w:cs="Arial"/>
          <w:sz w:val="20"/>
          <w:szCs w:val="20"/>
        </w:rPr>
      </w:pPr>
      <w:r w:rsidRPr="00AB7159">
        <w:rPr>
          <w:rFonts w:ascii="Arial" w:hAnsi="Arial" w:cs="Arial"/>
          <w:sz w:val="20"/>
          <w:szCs w:val="20"/>
        </w:rPr>
        <w:t xml:space="preserve">As per paragraph 28 of the A6.2 guidance, the article 6 TER team shall forward its reports to the Article 13 TER. In this regard, further guidance is needed to clearly distinguish the functions of the Article 6 TER team from those of the Article 13 TER team and to clarify the implications of their functions. </w:t>
      </w:r>
    </w:p>
    <w:p w14:paraId="4325A89C" w14:textId="666AD9C8" w:rsidR="00B30E04" w:rsidRPr="00AB7159" w:rsidRDefault="00B30E04" w:rsidP="00B30E04">
      <w:pPr>
        <w:rPr>
          <w:rFonts w:ascii="Arial" w:hAnsi="Arial" w:cs="Arial"/>
          <w:sz w:val="20"/>
          <w:szCs w:val="20"/>
        </w:rPr>
      </w:pPr>
    </w:p>
    <w:p w14:paraId="2C31C4F2" w14:textId="0E1D36AB" w:rsidR="008A3B46" w:rsidRPr="00F651AB" w:rsidRDefault="008A3B46" w:rsidP="00F651AB">
      <w:pPr>
        <w:pStyle w:val="a5"/>
        <w:numPr>
          <w:ilvl w:val="0"/>
          <w:numId w:val="23"/>
        </w:numPr>
        <w:ind w:leftChars="0"/>
        <w:rPr>
          <w:rFonts w:ascii="Arial" w:hAnsi="Arial" w:cs="Arial"/>
          <w:b/>
          <w:sz w:val="24"/>
          <w:szCs w:val="20"/>
        </w:rPr>
      </w:pPr>
      <w:r w:rsidRPr="00F651AB">
        <w:rPr>
          <w:rFonts w:ascii="Arial" w:hAnsi="Arial" w:cs="Arial"/>
          <w:b/>
          <w:sz w:val="24"/>
          <w:szCs w:val="20"/>
        </w:rPr>
        <w:t>Relationship with Warsaw Framework for REDD-plus review</w:t>
      </w:r>
    </w:p>
    <w:p w14:paraId="7BC36D0A" w14:textId="313F73F9" w:rsidR="005763EC" w:rsidRPr="00AB7159" w:rsidRDefault="005763EC" w:rsidP="007923FE">
      <w:pPr>
        <w:rPr>
          <w:rFonts w:ascii="Arial" w:hAnsi="Arial" w:cs="Arial"/>
          <w:sz w:val="20"/>
          <w:szCs w:val="20"/>
        </w:rPr>
      </w:pPr>
      <w:r w:rsidRPr="00AB7159">
        <w:rPr>
          <w:rFonts w:ascii="Arial" w:hAnsi="Arial" w:cs="Arial"/>
          <w:sz w:val="20"/>
          <w:szCs w:val="20"/>
        </w:rPr>
        <w:t xml:space="preserve">The </w:t>
      </w:r>
      <w:r w:rsidR="00D6438A" w:rsidRPr="00AB7159">
        <w:rPr>
          <w:rFonts w:ascii="Arial" w:hAnsi="Arial" w:cs="Arial"/>
          <w:sz w:val="20"/>
          <w:szCs w:val="20"/>
        </w:rPr>
        <w:t xml:space="preserve">Warsaw Framework for REDD+  is a framework for reducing  emissions from deforestation and forest degradation and conservation of forest carbon stocks , sustainable forest management and enhancement of forest carbon stock which was approved by UNFCCC COP19 (para. 44, FCCC/CP/2013/10). In terms of emission reductions and removals through the REDD+ activities, it should be considered that the mitigation outcomes through the </w:t>
      </w:r>
      <w:r w:rsidRPr="00AB7159">
        <w:rPr>
          <w:rFonts w:ascii="Arial" w:hAnsi="Arial" w:cs="Arial"/>
          <w:sz w:val="20"/>
          <w:szCs w:val="20"/>
        </w:rPr>
        <w:t>Warsaw Framework for REDD+</w:t>
      </w:r>
      <w:r w:rsidR="00D6438A" w:rsidRPr="00AB7159">
        <w:rPr>
          <w:rFonts w:ascii="Arial" w:hAnsi="Arial" w:cs="Arial"/>
          <w:sz w:val="20"/>
          <w:szCs w:val="20"/>
        </w:rPr>
        <w:t xml:space="preserve"> are reported in the Report on the technical assessment under the supervision of UNFFF after technical assessment team consisting of LULUCF review experts under UNFCCC technically assesses F</w:t>
      </w:r>
      <w:r w:rsidRPr="00AB7159">
        <w:rPr>
          <w:rFonts w:ascii="Arial" w:hAnsi="Arial" w:cs="Arial"/>
          <w:sz w:val="20"/>
          <w:szCs w:val="20"/>
        </w:rPr>
        <w:t>orest Reference Emission Level/Forest Reference Level (FREL/FRL)</w:t>
      </w:r>
      <w:r w:rsidR="00D6438A" w:rsidRPr="00AB7159">
        <w:rPr>
          <w:rFonts w:ascii="Arial" w:hAnsi="Arial" w:cs="Arial"/>
          <w:sz w:val="20"/>
          <w:szCs w:val="20"/>
        </w:rPr>
        <w:t xml:space="preserve"> (Decision 13/CP.19) and conducts International Consultation and Analysis (ICA) of BUR (Decision 14/CP.19, para. 39~44 &amp; 56~62 of Decision 2/CP.17), although </w:t>
      </w:r>
      <w:r w:rsidRPr="00AB7159">
        <w:rPr>
          <w:rFonts w:ascii="Arial" w:hAnsi="Arial" w:cs="Arial"/>
          <w:sz w:val="20"/>
          <w:szCs w:val="20"/>
        </w:rPr>
        <w:t>the Warsaw Framework for REDD+</w:t>
      </w:r>
      <w:r w:rsidR="00D6438A" w:rsidRPr="00AB7159">
        <w:rPr>
          <w:rFonts w:ascii="Arial" w:hAnsi="Arial" w:cs="Arial"/>
          <w:sz w:val="20"/>
          <w:szCs w:val="20"/>
        </w:rPr>
        <w:t xml:space="preserve"> is subject to the review for the Article 6 since it is also based on cooperative approach. </w:t>
      </w:r>
      <w:r w:rsidRPr="00AB7159">
        <w:rPr>
          <w:rFonts w:ascii="Arial" w:hAnsi="Arial" w:cs="Arial"/>
          <w:sz w:val="20"/>
          <w:szCs w:val="20"/>
        </w:rPr>
        <w:t>Also, the outcomes through the Warsaw Framework for REDD+ under the Paris regime are reported through BTR (Annex I) which require to be authorized for the Article 13 TER. Therefore, reviews on the outcomes through the WRF should not be duplicated, pursuant to the principles towards less burden on Parties and the secretariat. However, this opinion corresponds the cooperative approach of the Article 6.2 when relating to the nation-driven the Warsaw Framework for REDD+, meaning that REDD+ projects in voluntary markets are not considered here.</w:t>
      </w:r>
    </w:p>
    <w:p w14:paraId="19A2A0BF" w14:textId="6FC65760" w:rsidR="00D6438A" w:rsidRPr="00AB7159" w:rsidRDefault="00D6438A" w:rsidP="007923FE">
      <w:pPr>
        <w:rPr>
          <w:rFonts w:ascii="Arial" w:hAnsi="Arial" w:cs="Arial"/>
          <w:sz w:val="20"/>
          <w:szCs w:val="20"/>
        </w:rPr>
      </w:pPr>
      <w:r w:rsidRPr="001B0843">
        <w:rPr>
          <w:rFonts w:ascii="Arial" w:hAnsi="Arial" w:cs="Arial"/>
          <w:sz w:val="20"/>
          <w:szCs w:val="20"/>
        </w:rPr>
        <w:t xml:space="preserve">Box </w:t>
      </w:r>
      <w:r w:rsidR="001B0843" w:rsidRPr="001B0843">
        <w:rPr>
          <w:rFonts w:ascii="Arial" w:hAnsi="Arial" w:cs="Arial"/>
          <w:sz w:val="20"/>
          <w:szCs w:val="20"/>
        </w:rPr>
        <w:t>3</w:t>
      </w:r>
      <w:r w:rsidRPr="001B0843">
        <w:rPr>
          <w:rFonts w:ascii="Arial" w:hAnsi="Arial" w:cs="Arial"/>
          <w:sz w:val="20"/>
          <w:szCs w:val="20"/>
        </w:rPr>
        <w:t xml:space="preserve"> shows </w:t>
      </w:r>
      <w:r w:rsidRPr="00AB7159">
        <w:rPr>
          <w:rFonts w:ascii="Arial" w:hAnsi="Arial" w:cs="Arial"/>
          <w:sz w:val="20"/>
          <w:szCs w:val="20"/>
        </w:rPr>
        <w:t xml:space="preserve">what were decided for </w:t>
      </w:r>
      <w:r w:rsidR="005763EC" w:rsidRPr="00AB7159">
        <w:rPr>
          <w:rFonts w:ascii="Arial" w:hAnsi="Arial" w:cs="Arial"/>
          <w:sz w:val="20"/>
          <w:szCs w:val="20"/>
        </w:rPr>
        <w:t>the Warsaw Framework for REDD+</w:t>
      </w:r>
      <w:r w:rsidRPr="00AB7159">
        <w:rPr>
          <w:rFonts w:ascii="Arial" w:hAnsi="Arial" w:cs="Arial"/>
          <w:sz w:val="20"/>
          <w:szCs w:val="20"/>
        </w:rPr>
        <w:t xml:space="preserve"> through UNFCCC negotiations over the last decade.</w:t>
      </w:r>
    </w:p>
    <w:p w14:paraId="1BDE99F7" w14:textId="187D2985" w:rsidR="008A3B46" w:rsidRPr="00AB7159" w:rsidRDefault="008A3B46" w:rsidP="00B30E04">
      <w:pPr>
        <w:rPr>
          <w:rFonts w:ascii="Arial" w:hAnsi="Arial" w:cs="Arial"/>
          <w:sz w:val="20"/>
          <w:szCs w:val="20"/>
          <w:lang w:val="de-DE"/>
        </w:rPr>
      </w:pPr>
    </w:p>
    <w:p w14:paraId="1309F7AE" w14:textId="4BD59BEE" w:rsidR="00F651AB" w:rsidRDefault="00F651AB" w:rsidP="00F651AB">
      <w:pPr>
        <w:pStyle w:val="af1"/>
        <w:keepNext/>
      </w:pPr>
      <w:r w:rsidRPr="001B0843">
        <w:t xml:space="preserve">Box </w:t>
      </w:r>
      <w:r w:rsidR="001B0843" w:rsidRPr="001B0843">
        <w:rPr>
          <w:noProof/>
        </w:rPr>
        <w:t>3</w:t>
      </w:r>
      <w:r w:rsidRPr="001B0843">
        <w:t xml:space="preserve">. Summary </w:t>
      </w:r>
      <w:r w:rsidRPr="00356252">
        <w:t xml:space="preserve">on </w:t>
      </w:r>
      <w:r>
        <w:rPr>
          <w:rFonts w:hint="eastAsia"/>
        </w:rPr>
        <w:t>t</w:t>
      </w:r>
      <w:r w:rsidRPr="00356252">
        <w:t>he Warsaw Framework for REDD-plus</w:t>
      </w:r>
    </w:p>
    <w:tbl>
      <w:tblPr>
        <w:tblStyle w:val="ac"/>
        <w:tblW w:w="0" w:type="auto"/>
        <w:tblLook w:val="04A0" w:firstRow="1" w:lastRow="0" w:firstColumn="1" w:lastColumn="0" w:noHBand="0" w:noVBand="1"/>
      </w:tblPr>
      <w:tblGrid>
        <w:gridCol w:w="9016"/>
      </w:tblGrid>
      <w:tr w:rsidR="00CF4634" w:rsidRPr="00AB7159" w14:paraId="4E5B7A7E" w14:textId="77777777" w:rsidTr="00CF4634">
        <w:trPr>
          <w:trHeight w:val="1975"/>
        </w:trPr>
        <w:tc>
          <w:tcPr>
            <w:tcW w:w="9016" w:type="dxa"/>
            <w:vAlign w:val="center"/>
          </w:tcPr>
          <w:p w14:paraId="26146899" w14:textId="48310A8A" w:rsidR="0078131C" w:rsidRPr="00AB7159" w:rsidRDefault="0078131C" w:rsidP="005763EC">
            <w:pPr>
              <w:rPr>
                <w:rFonts w:ascii="Arial" w:eastAsia="나눔고딕" w:hAnsi="Arial" w:cs="Arial"/>
                <w:sz w:val="20"/>
                <w:szCs w:val="20"/>
              </w:rPr>
            </w:pPr>
            <w:r w:rsidRPr="00AB7159">
              <w:rPr>
                <w:rFonts w:ascii="Arial" w:hAnsi="Arial" w:cs="Arial"/>
                <w:b/>
                <w:sz w:val="20"/>
                <w:szCs w:val="20"/>
              </w:rPr>
              <w:t>(Activities)</w:t>
            </w:r>
            <w:r w:rsidRPr="00AB7159">
              <w:rPr>
                <w:rFonts w:ascii="Arial" w:hAnsi="Arial" w:cs="Arial"/>
                <w:sz w:val="20"/>
                <w:szCs w:val="20"/>
              </w:rPr>
              <w:t xml:space="preserve"> The WRF contributes to reducing GHGs emission through five activities included in two types of </w:t>
            </w:r>
            <w:r w:rsidR="00D6438A" w:rsidRPr="00AB7159">
              <w:rPr>
                <w:rFonts w:ascii="Arial" w:hAnsi="Arial" w:cs="Arial"/>
                <w:sz w:val="20"/>
                <w:szCs w:val="20"/>
              </w:rPr>
              <w:t>activities</w:t>
            </w:r>
            <w:r w:rsidRPr="00AB7159">
              <w:rPr>
                <w:rFonts w:ascii="Arial" w:hAnsi="Arial" w:cs="Arial"/>
                <w:sz w:val="20"/>
                <w:szCs w:val="20"/>
              </w:rPr>
              <w:t xml:space="preserve"> (emission reduction</w:t>
            </w:r>
            <w:r w:rsidR="001D46FA" w:rsidRPr="00AB7159">
              <w:rPr>
                <w:rFonts w:ascii="Arial" w:hAnsi="Arial" w:cs="Arial"/>
                <w:sz w:val="20"/>
                <w:szCs w:val="20"/>
              </w:rPr>
              <w:t>s</w:t>
            </w:r>
            <w:r w:rsidRPr="00AB7159">
              <w:rPr>
                <w:rFonts w:ascii="Arial" w:hAnsi="Arial" w:cs="Arial"/>
                <w:sz w:val="20"/>
                <w:szCs w:val="20"/>
              </w:rPr>
              <w:t xml:space="preserve"> and </w:t>
            </w:r>
            <w:r w:rsidR="001D46FA" w:rsidRPr="00AB7159">
              <w:rPr>
                <w:rFonts w:ascii="Arial" w:hAnsi="Arial" w:cs="Arial"/>
                <w:sz w:val="20"/>
                <w:szCs w:val="20"/>
              </w:rPr>
              <w:t>removals</w:t>
            </w:r>
            <w:r w:rsidRPr="00AB7159">
              <w:rPr>
                <w:rFonts w:ascii="Arial" w:hAnsi="Arial" w:cs="Arial"/>
                <w:sz w:val="20"/>
                <w:szCs w:val="20"/>
              </w:rPr>
              <w:t xml:space="preserve">) under the cooperative approach </w:t>
            </w:r>
            <w:r w:rsidRPr="00AB7159">
              <w:rPr>
                <w:rFonts w:ascii="Arial" w:eastAsia="나눔고딕" w:hAnsi="Arial" w:cs="Arial"/>
                <w:sz w:val="20"/>
                <w:szCs w:val="20"/>
              </w:rPr>
              <w:t>(para. 70, Decision 1/CP.16).</w:t>
            </w:r>
          </w:p>
          <w:p w14:paraId="77FD757E" w14:textId="54C82828" w:rsidR="0078131C" w:rsidRPr="00AB7159" w:rsidRDefault="0078131C" w:rsidP="005763EC">
            <w:pPr>
              <w:pStyle w:val="a5"/>
              <w:numPr>
                <w:ilvl w:val="0"/>
                <w:numId w:val="14"/>
              </w:numPr>
              <w:ind w:leftChars="0"/>
              <w:rPr>
                <w:rFonts w:ascii="Arial" w:hAnsi="Arial" w:cs="Arial"/>
                <w:sz w:val="20"/>
                <w:szCs w:val="20"/>
              </w:rPr>
            </w:pPr>
            <w:r w:rsidRPr="00AB7159">
              <w:rPr>
                <w:rFonts w:ascii="Arial" w:hAnsi="Arial" w:cs="Arial"/>
                <w:b/>
                <w:sz w:val="20"/>
                <w:szCs w:val="20"/>
              </w:rPr>
              <w:t>Emission reduction</w:t>
            </w:r>
            <w:r w:rsidR="001D46FA" w:rsidRPr="00AB7159">
              <w:rPr>
                <w:rFonts w:ascii="Arial" w:hAnsi="Arial" w:cs="Arial"/>
                <w:b/>
                <w:sz w:val="20"/>
                <w:szCs w:val="20"/>
              </w:rPr>
              <w:t>s</w:t>
            </w:r>
            <w:r w:rsidRPr="00AB7159">
              <w:rPr>
                <w:rFonts w:ascii="Arial" w:hAnsi="Arial" w:cs="Arial"/>
                <w:sz w:val="20"/>
                <w:szCs w:val="20"/>
              </w:rPr>
              <w:t>: reducing GHGs emissions from deforestation and from forest degradation</w:t>
            </w:r>
          </w:p>
          <w:p w14:paraId="519160A7" w14:textId="32B78FD8" w:rsidR="0078131C" w:rsidRPr="00AB7159" w:rsidRDefault="001D46FA" w:rsidP="005763EC">
            <w:pPr>
              <w:pStyle w:val="a5"/>
              <w:numPr>
                <w:ilvl w:val="0"/>
                <w:numId w:val="14"/>
              </w:numPr>
              <w:ind w:leftChars="0"/>
              <w:rPr>
                <w:rFonts w:ascii="Arial" w:hAnsi="Arial" w:cs="Arial"/>
                <w:sz w:val="20"/>
                <w:szCs w:val="20"/>
              </w:rPr>
            </w:pPr>
            <w:r w:rsidRPr="00AB7159">
              <w:rPr>
                <w:rFonts w:ascii="Arial" w:hAnsi="Arial" w:cs="Arial"/>
                <w:b/>
                <w:sz w:val="20"/>
                <w:szCs w:val="20"/>
              </w:rPr>
              <w:t>Removals</w:t>
            </w:r>
            <w:r w:rsidR="0078131C" w:rsidRPr="00AB7159">
              <w:rPr>
                <w:rFonts w:ascii="Arial" w:hAnsi="Arial" w:cs="Arial"/>
                <w:b/>
                <w:sz w:val="20"/>
                <w:szCs w:val="20"/>
              </w:rPr>
              <w:t xml:space="preserve">: </w:t>
            </w:r>
            <w:r w:rsidR="0078131C" w:rsidRPr="00AB7159">
              <w:rPr>
                <w:rFonts w:ascii="Arial" w:hAnsi="Arial" w:cs="Arial"/>
                <w:sz w:val="20"/>
                <w:szCs w:val="20"/>
              </w:rPr>
              <w:t>conservation of forest carbon stocks, sustainable forest management and enhancement of forest carbon stock</w:t>
            </w:r>
          </w:p>
          <w:p w14:paraId="5135C680" w14:textId="77777777" w:rsidR="0078131C" w:rsidRPr="00AB7159" w:rsidRDefault="0078131C" w:rsidP="005763EC">
            <w:pPr>
              <w:ind w:left="120"/>
              <w:rPr>
                <w:rFonts w:ascii="Arial" w:hAnsi="Arial" w:cs="Arial"/>
                <w:sz w:val="20"/>
                <w:szCs w:val="20"/>
              </w:rPr>
            </w:pPr>
          </w:p>
          <w:p w14:paraId="170D028E" w14:textId="77777777" w:rsidR="0078131C" w:rsidRPr="00AB7159" w:rsidRDefault="0078131C" w:rsidP="005763EC">
            <w:pPr>
              <w:ind w:left="120"/>
              <w:rPr>
                <w:rFonts w:ascii="Arial" w:eastAsia="맑은 고딕" w:hAnsi="Arial" w:cs="Arial"/>
                <w:sz w:val="20"/>
                <w:szCs w:val="20"/>
              </w:rPr>
            </w:pPr>
            <w:r w:rsidRPr="00AB7159">
              <w:rPr>
                <w:rFonts w:ascii="Arial" w:hAnsi="Arial" w:cs="Arial"/>
                <w:b/>
                <w:sz w:val="20"/>
                <w:szCs w:val="20"/>
              </w:rPr>
              <w:t xml:space="preserve">(Requirements) </w:t>
            </w:r>
            <w:r w:rsidRPr="00AB7159">
              <w:rPr>
                <w:rFonts w:ascii="Arial" w:hAnsi="Arial" w:cs="Arial"/>
                <w:sz w:val="20"/>
                <w:szCs w:val="20"/>
              </w:rPr>
              <w:t xml:space="preserve">Parties which intend to participate in the WRF are requested to develop </w:t>
            </w:r>
            <w:r w:rsidRPr="00AB7159">
              <w:rPr>
                <w:rFonts w:ascii="맑은 고딕" w:eastAsia="바탕" w:hAnsi="맑은 고딕" w:cs="맑은 고딕"/>
                <w:sz w:val="20"/>
                <w:szCs w:val="20"/>
              </w:rPr>
              <w:t>①</w:t>
            </w:r>
            <w:r w:rsidRPr="00AB7159">
              <w:rPr>
                <w:rFonts w:ascii="Arial" w:eastAsia="함초롬돋움" w:hAnsi="Arial" w:cs="Arial"/>
                <w:sz w:val="20"/>
                <w:szCs w:val="20"/>
              </w:rPr>
              <w:t xml:space="preserve"> </w:t>
            </w:r>
            <w:r w:rsidRPr="00AB7159">
              <w:rPr>
                <w:rFonts w:ascii="Arial" w:eastAsia="함초롬돋움" w:hAnsi="Arial" w:cs="Arial"/>
                <w:b/>
                <w:sz w:val="20"/>
                <w:szCs w:val="20"/>
              </w:rPr>
              <w:t>a national strategy</w:t>
            </w:r>
            <w:r w:rsidRPr="00AB7159">
              <w:rPr>
                <w:rFonts w:ascii="Arial" w:eastAsia="함초롬돋움" w:hAnsi="Arial" w:cs="Arial"/>
                <w:sz w:val="20"/>
                <w:szCs w:val="20"/>
              </w:rPr>
              <w:t xml:space="preserve"> or action plan, </w:t>
            </w:r>
            <w:r w:rsidRPr="00AB7159">
              <w:rPr>
                <w:rFonts w:ascii="맑은 고딕" w:eastAsia="바탕" w:hAnsi="맑은 고딕" w:cs="맑은 고딕"/>
                <w:sz w:val="20"/>
                <w:szCs w:val="20"/>
              </w:rPr>
              <w:t>②</w:t>
            </w:r>
            <w:r w:rsidRPr="00AB7159">
              <w:rPr>
                <w:rFonts w:ascii="Arial" w:eastAsia="함초롬돋움" w:hAnsi="Arial" w:cs="Arial"/>
                <w:sz w:val="20"/>
                <w:szCs w:val="20"/>
              </w:rPr>
              <w:t xml:space="preserve"> a national forest reference emission level/forest reference level (FREL/FRL), </w:t>
            </w:r>
            <w:r w:rsidRPr="00AB7159">
              <w:rPr>
                <w:rFonts w:ascii="맑은 고딕" w:eastAsia="바탕" w:hAnsi="맑은 고딕" w:cs="맑은 고딕"/>
                <w:sz w:val="20"/>
                <w:szCs w:val="20"/>
              </w:rPr>
              <w:t>③</w:t>
            </w:r>
            <w:r w:rsidRPr="00AB7159">
              <w:rPr>
                <w:rFonts w:ascii="Arial" w:eastAsia="맑은 고딕" w:hAnsi="Arial" w:cs="Arial"/>
                <w:sz w:val="20"/>
                <w:szCs w:val="20"/>
              </w:rPr>
              <w:t xml:space="preserve"> a national forest monitoring system and, </w:t>
            </w:r>
            <w:r w:rsidRPr="00AB7159">
              <w:rPr>
                <w:rFonts w:ascii="맑은 고딕" w:eastAsia="바탕" w:hAnsi="맑은 고딕" w:cs="맑은 고딕"/>
                <w:sz w:val="20"/>
                <w:szCs w:val="20"/>
              </w:rPr>
              <w:t>④</w:t>
            </w:r>
            <w:r w:rsidRPr="00AB7159">
              <w:rPr>
                <w:rFonts w:ascii="Arial" w:eastAsia="맑은 고딕" w:hAnsi="Arial" w:cs="Arial"/>
                <w:sz w:val="20"/>
                <w:szCs w:val="20"/>
              </w:rPr>
              <w:t xml:space="preserve"> a system for providing information on how the safeguards are being implemented </w:t>
            </w:r>
            <w:r w:rsidRPr="00AB7159">
              <w:rPr>
                <w:rFonts w:ascii="Arial" w:eastAsia="나눔고딕" w:hAnsi="Arial" w:cs="Arial"/>
                <w:sz w:val="20"/>
                <w:szCs w:val="20"/>
              </w:rPr>
              <w:t>(para. 71(</w:t>
            </w:r>
            <w:proofErr w:type="spellStart"/>
            <w:r w:rsidRPr="00AB7159">
              <w:rPr>
                <w:rFonts w:ascii="Arial" w:eastAsia="나눔고딕" w:hAnsi="Arial" w:cs="Arial"/>
                <w:sz w:val="20"/>
                <w:szCs w:val="20"/>
              </w:rPr>
              <w:t>a</w:t>
            </w:r>
            <w:r w:rsidRPr="00AB7159">
              <w:rPr>
                <w:rFonts w:ascii="Arial" w:eastAsia="맑은 고딕" w:hAnsi="Arial" w:cs="Arial"/>
                <w:sz w:val="20"/>
                <w:szCs w:val="20"/>
              </w:rPr>
              <w:t>~</w:t>
            </w:r>
            <w:r w:rsidRPr="00AB7159">
              <w:rPr>
                <w:rFonts w:ascii="Arial" w:eastAsia="나눔고딕" w:hAnsi="Arial" w:cs="Arial"/>
                <w:sz w:val="20"/>
                <w:szCs w:val="20"/>
              </w:rPr>
              <w:t>d</w:t>
            </w:r>
            <w:proofErr w:type="spellEnd"/>
            <w:r w:rsidRPr="00AB7159">
              <w:rPr>
                <w:rFonts w:ascii="Arial" w:eastAsia="나눔고딕" w:hAnsi="Arial" w:cs="Arial"/>
                <w:sz w:val="20"/>
                <w:szCs w:val="20"/>
              </w:rPr>
              <w:t>), Decision 1/CP.16)</w:t>
            </w:r>
            <w:r w:rsidRPr="00AB7159">
              <w:rPr>
                <w:rFonts w:ascii="Arial" w:eastAsia="맑은 고딕" w:hAnsi="Arial" w:cs="Arial"/>
                <w:sz w:val="20"/>
                <w:szCs w:val="20"/>
              </w:rPr>
              <w:t>.</w:t>
            </w:r>
          </w:p>
          <w:p w14:paraId="6927C432" w14:textId="77777777" w:rsidR="0078131C" w:rsidRPr="00AB7159" w:rsidRDefault="0078131C" w:rsidP="005763EC">
            <w:pPr>
              <w:ind w:left="120"/>
              <w:rPr>
                <w:rFonts w:ascii="Arial" w:hAnsi="Arial" w:cs="Arial"/>
                <w:sz w:val="20"/>
                <w:szCs w:val="20"/>
              </w:rPr>
            </w:pPr>
          </w:p>
          <w:p w14:paraId="359E9E5D" w14:textId="733B9F6A" w:rsidR="0078131C" w:rsidRPr="00AB7159" w:rsidRDefault="0078131C" w:rsidP="005763EC">
            <w:pPr>
              <w:ind w:left="120"/>
              <w:rPr>
                <w:rFonts w:ascii="Arial" w:eastAsia="나눔고딕" w:hAnsi="Arial" w:cs="Arial"/>
                <w:sz w:val="20"/>
                <w:szCs w:val="20"/>
              </w:rPr>
            </w:pPr>
            <w:r w:rsidRPr="00AB7159">
              <w:rPr>
                <w:rFonts w:ascii="Arial" w:hAnsi="Arial" w:cs="Arial"/>
                <w:b/>
                <w:sz w:val="20"/>
                <w:szCs w:val="20"/>
              </w:rPr>
              <w:t>(Scope)</w:t>
            </w:r>
            <w:r w:rsidRPr="00AB7159">
              <w:rPr>
                <w:rFonts w:ascii="Arial" w:hAnsi="Arial" w:cs="Arial"/>
                <w:sz w:val="20"/>
                <w:szCs w:val="20"/>
              </w:rPr>
              <w:t xml:space="preserve"> </w:t>
            </w:r>
            <w:r w:rsidR="001D46FA" w:rsidRPr="00AB7159">
              <w:rPr>
                <w:rFonts w:ascii="Arial" w:hAnsi="Arial" w:cs="Arial"/>
                <w:sz w:val="20"/>
                <w:szCs w:val="20"/>
              </w:rPr>
              <w:t>The mitigation outcomes</w:t>
            </w:r>
            <w:r w:rsidR="00CE1BF7" w:rsidRPr="00AB7159">
              <w:rPr>
                <w:rFonts w:ascii="Arial" w:hAnsi="Arial" w:cs="Arial"/>
                <w:sz w:val="20"/>
                <w:szCs w:val="20"/>
              </w:rPr>
              <w:t xml:space="preserve"> </w:t>
            </w:r>
            <w:r w:rsidR="001D46FA" w:rsidRPr="00AB7159">
              <w:rPr>
                <w:rFonts w:ascii="Arial" w:hAnsi="Arial" w:cs="Arial"/>
                <w:sz w:val="20"/>
                <w:szCs w:val="20"/>
              </w:rPr>
              <w:t>(e</w:t>
            </w:r>
            <w:r w:rsidRPr="00AB7159">
              <w:rPr>
                <w:rFonts w:ascii="Arial" w:hAnsi="Arial" w:cs="Arial"/>
                <w:sz w:val="20"/>
                <w:szCs w:val="20"/>
              </w:rPr>
              <w:t>mission reduction</w:t>
            </w:r>
            <w:r w:rsidR="001D46FA" w:rsidRPr="00AB7159">
              <w:rPr>
                <w:rFonts w:ascii="Arial" w:hAnsi="Arial" w:cs="Arial"/>
                <w:sz w:val="20"/>
                <w:szCs w:val="20"/>
              </w:rPr>
              <w:t>s</w:t>
            </w:r>
            <w:r w:rsidRPr="00AB7159">
              <w:rPr>
                <w:rFonts w:ascii="Arial" w:hAnsi="Arial" w:cs="Arial"/>
                <w:sz w:val="20"/>
                <w:szCs w:val="20"/>
              </w:rPr>
              <w:t xml:space="preserve"> and </w:t>
            </w:r>
            <w:r w:rsidR="001D46FA" w:rsidRPr="00AB7159">
              <w:rPr>
                <w:rFonts w:ascii="Arial" w:hAnsi="Arial" w:cs="Arial"/>
                <w:sz w:val="20"/>
                <w:szCs w:val="20"/>
              </w:rPr>
              <w:t>removals)</w:t>
            </w:r>
            <w:r w:rsidRPr="00AB7159">
              <w:rPr>
                <w:rFonts w:ascii="Arial" w:hAnsi="Arial" w:cs="Arial"/>
                <w:sz w:val="20"/>
                <w:szCs w:val="20"/>
              </w:rPr>
              <w:t xml:space="preserve"> through the REDD+ activities are requested to be monitored and reported at the national level </w:t>
            </w:r>
            <w:r w:rsidRPr="00AB7159">
              <w:rPr>
                <w:rFonts w:ascii="Arial" w:eastAsia="나눔고딕" w:hAnsi="Arial" w:cs="Arial"/>
                <w:sz w:val="20"/>
                <w:szCs w:val="20"/>
              </w:rPr>
              <w:t>(para. 71(c), Decision 1/CP.16), while subnational monitoring and reporting are acceptable as an interim measure (para. 7, Annex, Decision 2/CP.13).</w:t>
            </w:r>
          </w:p>
          <w:p w14:paraId="212E145A" w14:textId="77777777" w:rsidR="0078131C" w:rsidRPr="00AB7159" w:rsidRDefault="0078131C" w:rsidP="005763EC">
            <w:pPr>
              <w:ind w:left="120"/>
              <w:rPr>
                <w:rFonts w:ascii="Arial" w:hAnsi="Arial" w:cs="Arial"/>
                <w:sz w:val="20"/>
                <w:szCs w:val="20"/>
              </w:rPr>
            </w:pPr>
          </w:p>
          <w:p w14:paraId="7FCF8DDE" w14:textId="7572F1D7" w:rsidR="0078131C" w:rsidRPr="00AB7159" w:rsidRDefault="0078131C" w:rsidP="005763EC">
            <w:pPr>
              <w:ind w:left="120"/>
              <w:rPr>
                <w:rFonts w:ascii="Arial" w:eastAsia="나눔고딕" w:hAnsi="Arial" w:cs="Arial"/>
                <w:sz w:val="20"/>
                <w:szCs w:val="20"/>
              </w:rPr>
            </w:pPr>
            <w:r w:rsidRPr="00AB7159">
              <w:rPr>
                <w:rFonts w:ascii="Arial" w:hAnsi="Arial" w:cs="Arial"/>
                <w:b/>
                <w:sz w:val="20"/>
                <w:szCs w:val="20"/>
              </w:rPr>
              <w:t xml:space="preserve">(Consistency) </w:t>
            </w:r>
            <w:r w:rsidR="001D46FA" w:rsidRPr="00AB7159">
              <w:rPr>
                <w:rFonts w:ascii="Arial" w:hAnsi="Arial" w:cs="Arial"/>
                <w:sz w:val="20"/>
                <w:szCs w:val="20"/>
              </w:rPr>
              <w:t>The</w:t>
            </w:r>
            <w:r w:rsidR="00CE1BF7" w:rsidRPr="00AB7159">
              <w:rPr>
                <w:rFonts w:ascii="Arial" w:hAnsi="Arial" w:cs="Arial"/>
                <w:sz w:val="20"/>
                <w:szCs w:val="20"/>
              </w:rPr>
              <w:t xml:space="preserve"> </w:t>
            </w:r>
            <w:r w:rsidR="001D46FA" w:rsidRPr="00AB7159">
              <w:rPr>
                <w:rFonts w:ascii="Arial" w:hAnsi="Arial" w:cs="Arial"/>
                <w:sz w:val="20"/>
                <w:szCs w:val="20"/>
              </w:rPr>
              <w:t>(e</w:t>
            </w:r>
            <w:r w:rsidRPr="00AB7159">
              <w:rPr>
                <w:rFonts w:ascii="Arial" w:hAnsi="Arial" w:cs="Arial"/>
                <w:sz w:val="20"/>
                <w:szCs w:val="20"/>
              </w:rPr>
              <w:t>mission reduction</w:t>
            </w:r>
            <w:r w:rsidR="001D46FA" w:rsidRPr="00AB7159">
              <w:rPr>
                <w:rFonts w:ascii="Arial" w:hAnsi="Arial" w:cs="Arial"/>
                <w:sz w:val="20"/>
                <w:szCs w:val="20"/>
              </w:rPr>
              <w:t>s</w:t>
            </w:r>
            <w:r w:rsidRPr="00AB7159">
              <w:rPr>
                <w:rFonts w:ascii="Arial" w:hAnsi="Arial" w:cs="Arial"/>
                <w:sz w:val="20"/>
                <w:szCs w:val="20"/>
              </w:rPr>
              <w:t xml:space="preserve"> and </w:t>
            </w:r>
            <w:r w:rsidR="001D46FA" w:rsidRPr="00AB7159">
              <w:rPr>
                <w:rFonts w:ascii="Arial" w:hAnsi="Arial" w:cs="Arial"/>
                <w:sz w:val="20"/>
                <w:szCs w:val="20"/>
              </w:rPr>
              <w:t>removals)</w:t>
            </w:r>
            <w:r w:rsidRPr="00AB7159">
              <w:rPr>
                <w:rFonts w:ascii="Arial" w:hAnsi="Arial" w:cs="Arial"/>
                <w:sz w:val="20"/>
                <w:szCs w:val="20"/>
              </w:rPr>
              <w:t xml:space="preserve"> through the REDD+ activities are requested to maintain consistency with </w:t>
            </w:r>
            <w:r w:rsidRPr="00AB7159">
              <w:rPr>
                <w:rFonts w:ascii="Arial" w:hAnsi="Arial" w:cs="Arial"/>
                <w:b/>
                <w:sz w:val="20"/>
                <w:szCs w:val="20"/>
              </w:rPr>
              <w:t xml:space="preserve">GHGs emissions and </w:t>
            </w:r>
            <w:r w:rsidR="001D46FA" w:rsidRPr="00AB7159">
              <w:rPr>
                <w:rFonts w:ascii="Arial" w:hAnsi="Arial" w:cs="Arial"/>
                <w:b/>
                <w:sz w:val="20"/>
                <w:szCs w:val="20"/>
              </w:rPr>
              <w:t>removals</w:t>
            </w:r>
            <w:r w:rsidRPr="00AB7159">
              <w:rPr>
                <w:rFonts w:ascii="Arial" w:hAnsi="Arial" w:cs="Arial"/>
                <w:b/>
                <w:sz w:val="20"/>
                <w:szCs w:val="20"/>
              </w:rPr>
              <w:t xml:space="preserve"> of the </w:t>
            </w:r>
            <w:r w:rsidR="001D46FA" w:rsidRPr="00AB7159">
              <w:rPr>
                <w:rFonts w:ascii="Arial" w:hAnsi="Arial" w:cs="Arial"/>
                <w:b/>
                <w:sz w:val="20"/>
                <w:szCs w:val="20"/>
              </w:rPr>
              <w:t>Land Use, Land-Use Change and Forestry</w:t>
            </w:r>
            <w:r w:rsidRPr="00AB7159">
              <w:rPr>
                <w:rFonts w:ascii="Arial" w:hAnsi="Arial" w:cs="Arial"/>
                <w:b/>
                <w:sz w:val="20"/>
                <w:szCs w:val="20"/>
              </w:rPr>
              <w:t xml:space="preserve"> sector in the national GHGs inventory</w:t>
            </w:r>
            <w:r w:rsidRPr="00AB7159">
              <w:rPr>
                <w:rFonts w:ascii="Arial" w:hAnsi="Arial" w:cs="Arial"/>
                <w:sz w:val="20"/>
                <w:szCs w:val="20"/>
              </w:rPr>
              <w:t xml:space="preserve"> and </w:t>
            </w:r>
            <w:r w:rsidRPr="00AB7159">
              <w:rPr>
                <w:rFonts w:ascii="Arial" w:hAnsi="Arial" w:cs="Arial"/>
                <w:b/>
                <w:sz w:val="20"/>
                <w:szCs w:val="20"/>
              </w:rPr>
              <w:t>the FREL/FRL</w:t>
            </w:r>
            <w:r w:rsidRPr="00AB7159">
              <w:rPr>
                <w:rFonts w:ascii="Arial" w:hAnsi="Arial" w:cs="Arial"/>
                <w:sz w:val="20"/>
                <w:szCs w:val="20"/>
              </w:rPr>
              <w:t xml:space="preserve"> </w:t>
            </w:r>
            <w:r w:rsidRPr="00AB7159">
              <w:rPr>
                <w:rFonts w:ascii="Arial" w:eastAsia="나눔고딕" w:hAnsi="Arial" w:cs="Arial"/>
                <w:sz w:val="20"/>
                <w:szCs w:val="20"/>
              </w:rPr>
              <w:t>(para. 2(a), Annex, Decision 13/CP.19).</w:t>
            </w:r>
          </w:p>
          <w:p w14:paraId="5882814C" w14:textId="77777777" w:rsidR="0078131C" w:rsidRPr="00AB7159" w:rsidRDefault="0078131C" w:rsidP="005763EC">
            <w:pPr>
              <w:ind w:left="120"/>
              <w:rPr>
                <w:rFonts w:ascii="Arial" w:hAnsi="Arial" w:cs="Arial"/>
                <w:sz w:val="20"/>
                <w:szCs w:val="20"/>
              </w:rPr>
            </w:pPr>
          </w:p>
          <w:p w14:paraId="21A71FFF" w14:textId="717D41EA" w:rsidR="0078131C" w:rsidRPr="00AB7159" w:rsidRDefault="0078131C" w:rsidP="005763EC">
            <w:pPr>
              <w:ind w:left="120"/>
              <w:rPr>
                <w:rFonts w:ascii="Arial" w:eastAsia="나눔고딕" w:hAnsi="Arial" w:cs="Arial"/>
                <w:sz w:val="20"/>
                <w:szCs w:val="20"/>
              </w:rPr>
            </w:pPr>
            <w:r w:rsidRPr="00AB7159">
              <w:rPr>
                <w:rFonts w:ascii="Arial" w:hAnsi="Arial" w:cs="Arial"/>
                <w:b/>
                <w:sz w:val="20"/>
                <w:szCs w:val="20"/>
              </w:rPr>
              <w:t xml:space="preserve">(Application of the Latest Guidance) </w:t>
            </w:r>
            <w:r w:rsidR="001D46FA" w:rsidRPr="00AB7159">
              <w:rPr>
                <w:rFonts w:ascii="Arial" w:hAnsi="Arial" w:cs="Arial"/>
                <w:sz w:val="20"/>
                <w:szCs w:val="20"/>
              </w:rPr>
              <w:t>The outcomes</w:t>
            </w:r>
            <w:r w:rsidR="00CE1BF7" w:rsidRPr="00AB7159">
              <w:rPr>
                <w:rFonts w:ascii="Arial" w:hAnsi="Arial" w:cs="Arial"/>
                <w:sz w:val="20"/>
                <w:szCs w:val="20"/>
              </w:rPr>
              <w:t xml:space="preserve"> </w:t>
            </w:r>
            <w:r w:rsidR="001D46FA" w:rsidRPr="00AB7159">
              <w:rPr>
                <w:rFonts w:ascii="Arial" w:hAnsi="Arial" w:cs="Arial"/>
                <w:sz w:val="20"/>
                <w:szCs w:val="20"/>
              </w:rPr>
              <w:t>(e</w:t>
            </w:r>
            <w:r w:rsidRPr="00AB7159">
              <w:rPr>
                <w:rFonts w:ascii="Arial" w:hAnsi="Arial" w:cs="Arial"/>
                <w:sz w:val="20"/>
                <w:szCs w:val="20"/>
              </w:rPr>
              <w:t>mission reduction</w:t>
            </w:r>
            <w:r w:rsidR="001D46FA" w:rsidRPr="00AB7159">
              <w:rPr>
                <w:rFonts w:ascii="Arial" w:hAnsi="Arial" w:cs="Arial"/>
                <w:sz w:val="20"/>
                <w:szCs w:val="20"/>
              </w:rPr>
              <w:t>s</w:t>
            </w:r>
            <w:r w:rsidRPr="00AB7159">
              <w:rPr>
                <w:rFonts w:ascii="Arial" w:hAnsi="Arial" w:cs="Arial"/>
                <w:sz w:val="20"/>
                <w:szCs w:val="20"/>
              </w:rPr>
              <w:t xml:space="preserve"> and </w:t>
            </w:r>
            <w:r w:rsidR="001D46FA" w:rsidRPr="00AB7159">
              <w:rPr>
                <w:rFonts w:ascii="Arial" w:hAnsi="Arial" w:cs="Arial"/>
                <w:sz w:val="20"/>
                <w:szCs w:val="20"/>
              </w:rPr>
              <w:t>removals)</w:t>
            </w:r>
            <w:r w:rsidRPr="00AB7159">
              <w:rPr>
                <w:rFonts w:ascii="Arial" w:hAnsi="Arial" w:cs="Arial"/>
                <w:sz w:val="20"/>
                <w:szCs w:val="20"/>
              </w:rPr>
              <w:t xml:space="preserve"> through the REDD+ activities are requested to follow Good Practice Guidance for Land Use, Land-Use Change and Forestry</w:t>
            </w:r>
            <w:r w:rsidR="00D6438A" w:rsidRPr="00AB7159">
              <w:rPr>
                <w:rFonts w:ascii="Arial" w:hAnsi="Arial" w:cs="Arial"/>
                <w:sz w:val="20"/>
                <w:szCs w:val="20"/>
              </w:rPr>
              <w:t xml:space="preserve"> (LULUCF)</w:t>
            </w:r>
            <w:r w:rsidRPr="00AB7159">
              <w:rPr>
                <w:rFonts w:ascii="Arial" w:hAnsi="Arial" w:cs="Arial"/>
                <w:sz w:val="20"/>
                <w:szCs w:val="20"/>
              </w:rPr>
              <w:t xml:space="preserve"> </w:t>
            </w:r>
            <w:r w:rsidRPr="00AB7159">
              <w:rPr>
                <w:rFonts w:ascii="Arial" w:eastAsia="나눔고딕" w:hAnsi="Arial" w:cs="Arial"/>
                <w:sz w:val="20"/>
                <w:szCs w:val="20"/>
              </w:rPr>
              <w:t xml:space="preserve">(IPCC, 2003) (para. 6, Decision 2/CP.13), but do </w:t>
            </w:r>
            <w:r w:rsidRPr="00AB7159">
              <w:rPr>
                <w:rFonts w:ascii="Arial" w:eastAsia="나눔고딕" w:hAnsi="Arial" w:cs="Arial"/>
                <w:b/>
                <w:sz w:val="20"/>
                <w:szCs w:val="20"/>
              </w:rPr>
              <w:t>the latest guidance by IPCC</w:t>
            </w:r>
            <w:r w:rsidRPr="00AB7159">
              <w:rPr>
                <w:rFonts w:ascii="Arial" w:eastAsia="나눔고딕" w:hAnsi="Arial" w:cs="Arial"/>
                <w:sz w:val="20"/>
                <w:szCs w:val="20"/>
              </w:rPr>
              <w:t xml:space="preserve"> (para. 1(c), Decision 4/CP.15, para. 2, Decision 11/CP.19).</w:t>
            </w:r>
          </w:p>
          <w:p w14:paraId="238335E2" w14:textId="77777777" w:rsidR="0078131C" w:rsidRPr="00AB7159" w:rsidRDefault="0078131C" w:rsidP="005763EC">
            <w:pPr>
              <w:ind w:left="120"/>
              <w:rPr>
                <w:rFonts w:ascii="Arial" w:hAnsi="Arial" w:cs="Arial"/>
                <w:sz w:val="20"/>
                <w:szCs w:val="20"/>
              </w:rPr>
            </w:pPr>
          </w:p>
          <w:p w14:paraId="7BB6D413" w14:textId="33D7AE27" w:rsidR="0078131C" w:rsidRPr="00AB7159" w:rsidRDefault="0078131C" w:rsidP="005763EC">
            <w:pPr>
              <w:ind w:left="120"/>
              <w:rPr>
                <w:rFonts w:ascii="Arial" w:hAnsi="Arial" w:cs="Arial"/>
                <w:sz w:val="20"/>
                <w:szCs w:val="20"/>
              </w:rPr>
            </w:pPr>
            <w:r w:rsidRPr="00AB7159">
              <w:rPr>
                <w:rFonts w:ascii="Arial" w:hAnsi="Arial" w:cs="Arial"/>
                <w:b/>
                <w:sz w:val="20"/>
                <w:szCs w:val="20"/>
              </w:rPr>
              <w:t xml:space="preserve">(Use of </w:t>
            </w:r>
            <w:r w:rsidR="00CE1BF7" w:rsidRPr="00AB7159">
              <w:rPr>
                <w:rFonts w:ascii="Arial" w:hAnsi="Arial" w:cs="Arial"/>
                <w:b/>
                <w:sz w:val="20"/>
                <w:szCs w:val="20"/>
              </w:rPr>
              <w:t>National Reporting</w:t>
            </w:r>
            <w:r w:rsidRPr="00AB7159">
              <w:rPr>
                <w:rFonts w:ascii="Arial" w:hAnsi="Arial" w:cs="Arial"/>
                <w:b/>
                <w:sz w:val="20"/>
                <w:szCs w:val="20"/>
              </w:rPr>
              <w:t xml:space="preserve">) </w:t>
            </w:r>
            <w:r w:rsidR="001D46FA" w:rsidRPr="00AB7159">
              <w:rPr>
                <w:rFonts w:ascii="Arial" w:hAnsi="Arial" w:cs="Arial"/>
                <w:sz w:val="20"/>
                <w:szCs w:val="20"/>
              </w:rPr>
              <w:t>The outcomes</w:t>
            </w:r>
            <w:r w:rsidR="004736EA" w:rsidRPr="00AB7159">
              <w:rPr>
                <w:rFonts w:ascii="Arial" w:hAnsi="Arial" w:cs="Arial"/>
                <w:sz w:val="20"/>
                <w:szCs w:val="20"/>
              </w:rPr>
              <w:t xml:space="preserve"> </w:t>
            </w:r>
            <w:r w:rsidR="001D46FA" w:rsidRPr="00AB7159">
              <w:rPr>
                <w:rFonts w:ascii="Arial" w:hAnsi="Arial" w:cs="Arial"/>
                <w:sz w:val="20"/>
                <w:szCs w:val="20"/>
              </w:rPr>
              <w:t>(e</w:t>
            </w:r>
            <w:r w:rsidRPr="00AB7159">
              <w:rPr>
                <w:rFonts w:ascii="Arial" w:hAnsi="Arial" w:cs="Arial"/>
                <w:sz w:val="20"/>
                <w:szCs w:val="20"/>
              </w:rPr>
              <w:t>mission reduction</w:t>
            </w:r>
            <w:r w:rsidR="001D46FA" w:rsidRPr="00AB7159">
              <w:rPr>
                <w:rFonts w:ascii="Arial" w:hAnsi="Arial" w:cs="Arial"/>
                <w:sz w:val="20"/>
                <w:szCs w:val="20"/>
              </w:rPr>
              <w:t>s</w:t>
            </w:r>
            <w:r w:rsidRPr="00AB7159">
              <w:rPr>
                <w:rFonts w:ascii="Arial" w:hAnsi="Arial" w:cs="Arial"/>
                <w:sz w:val="20"/>
                <w:szCs w:val="20"/>
              </w:rPr>
              <w:t xml:space="preserve"> and </w:t>
            </w:r>
            <w:r w:rsidR="001D46FA" w:rsidRPr="00AB7159">
              <w:rPr>
                <w:rFonts w:ascii="Arial" w:hAnsi="Arial" w:cs="Arial"/>
                <w:sz w:val="20"/>
                <w:szCs w:val="20"/>
              </w:rPr>
              <w:t>removals)</w:t>
            </w:r>
            <w:r w:rsidRPr="00AB7159">
              <w:rPr>
                <w:rFonts w:ascii="Arial" w:hAnsi="Arial" w:cs="Arial"/>
                <w:sz w:val="20"/>
                <w:szCs w:val="20"/>
              </w:rPr>
              <w:t xml:space="preserve"> through the REDD+ activities are being reported </w:t>
            </w:r>
            <w:r w:rsidRPr="00AB7159">
              <w:rPr>
                <w:rFonts w:ascii="Arial" w:hAnsi="Arial" w:cs="Arial"/>
                <w:b/>
                <w:sz w:val="20"/>
                <w:szCs w:val="20"/>
              </w:rPr>
              <w:t>in technical annexes of Biennial Update Report (BUR)</w:t>
            </w:r>
            <w:r w:rsidRPr="00AB7159">
              <w:rPr>
                <w:rFonts w:ascii="Arial" w:hAnsi="Arial" w:cs="Arial"/>
                <w:sz w:val="20"/>
                <w:szCs w:val="20"/>
              </w:rPr>
              <w:t xml:space="preserve"> pursuant to paragraph 6~7 of decision 14/CP.19 and paragraph 19 of annex III to decision 2/CP.17, and it will be submitted through </w:t>
            </w:r>
            <w:r w:rsidRPr="00AB7159">
              <w:rPr>
                <w:rFonts w:ascii="Arial" w:hAnsi="Arial" w:cs="Arial"/>
                <w:b/>
                <w:sz w:val="20"/>
                <w:szCs w:val="20"/>
              </w:rPr>
              <w:t>the annex I of BUR</w:t>
            </w:r>
            <w:r w:rsidRPr="00AB7159">
              <w:rPr>
                <w:rFonts w:ascii="Arial" w:hAnsi="Arial" w:cs="Arial"/>
                <w:sz w:val="20"/>
                <w:szCs w:val="20"/>
              </w:rPr>
              <w:t xml:space="preserve"> under the Paris regime </w:t>
            </w:r>
            <w:r w:rsidRPr="00AB7159">
              <w:rPr>
                <w:rFonts w:ascii="Arial" w:eastAsia="나눔고딕" w:hAnsi="Arial" w:cs="Arial"/>
                <w:sz w:val="20"/>
                <w:szCs w:val="20"/>
              </w:rPr>
              <w:t>(Annex IV, Decision 18/CMA.1)</w:t>
            </w:r>
            <w:r w:rsidRPr="00AB7159">
              <w:rPr>
                <w:rFonts w:ascii="Arial" w:hAnsi="Arial" w:cs="Arial"/>
                <w:sz w:val="20"/>
                <w:szCs w:val="20"/>
              </w:rPr>
              <w:t>.</w:t>
            </w:r>
          </w:p>
          <w:p w14:paraId="2FF2C6DA" w14:textId="77777777" w:rsidR="0078131C" w:rsidRPr="00AB7159" w:rsidRDefault="0078131C" w:rsidP="005763EC">
            <w:pPr>
              <w:ind w:left="120"/>
              <w:rPr>
                <w:rFonts w:ascii="Arial" w:hAnsi="Arial" w:cs="Arial"/>
                <w:sz w:val="20"/>
                <w:szCs w:val="20"/>
              </w:rPr>
            </w:pPr>
          </w:p>
          <w:p w14:paraId="1F06B120" w14:textId="4DA1786B" w:rsidR="002E78FE" w:rsidRPr="00AB7159" w:rsidRDefault="0078131C" w:rsidP="005763EC">
            <w:pPr>
              <w:ind w:left="120"/>
              <w:rPr>
                <w:rFonts w:ascii="Arial" w:hAnsi="Arial" w:cs="Arial"/>
                <w:sz w:val="20"/>
                <w:szCs w:val="20"/>
              </w:rPr>
            </w:pPr>
            <w:r w:rsidRPr="00AB7159">
              <w:rPr>
                <w:rFonts w:ascii="Arial" w:hAnsi="Arial" w:cs="Arial"/>
                <w:b/>
                <w:sz w:val="20"/>
                <w:szCs w:val="20"/>
              </w:rPr>
              <w:t xml:space="preserve">(Review by UNFCCC) </w:t>
            </w:r>
            <w:r w:rsidR="001D46FA" w:rsidRPr="00AB7159">
              <w:rPr>
                <w:rFonts w:ascii="Arial" w:hAnsi="Arial" w:cs="Arial"/>
                <w:sz w:val="20"/>
                <w:szCs w:val="20"/>
              </w:rPr>
              <w:t>T</w:t>
            </w:r>
            <w:r w:rsidR="002E78FE" w:rsidRPr="00AB7159">
              <w:rPr>
                <w:rFonts w:ascii="Arial" w:hAnsi="Arial" w:cs="Arial"/>
                <w:sz w:val="20"/>
                <w:szCs w:val="20"/>
              </w:rPr>
              <w:t xml:space="preserve">he technical assessment team </w:t>
            </w:r>
            <w:r w:rsidR="00D6438A" w:rsidRPr="00AB7159">
              <w:rPr>
                <w:rFonts w:ascii="Arial" w:hAnsi="Arial" w:cs="Arial"/>
                <w:sz w:val="20"/>
                <w:szCs w:val="20"/>
              </w:rPr>
              <w:t>consisting of LULUCF experts by the UNFCCC secretariat technically assesses FREL/FRL (Decision 13/CP.19) and conducts International Consultation and Analysis (ICA) for BUR (Decision 14/CP.19, para. 39~44 &amp; 56~62 of Decision 2/CP.17), and the results are submitted the Technical Assessment Reports.</w:t>
            </w:r>
          </w:p>
          <w:p w14:paraId="46C305A0" w14:textId="77777777" w:rsidR="002E78FE" w:rsidRPr="00AB7159" w:rsidRDefault="002E78FE" w:rsidP="005763EC">
            <w:pPr>
              <w:ind w:left="120"/>
              <w:rPr>
                <w:rFonts w:ascii="Arial" w:hAnsi="Arial" w:cs="Arial"/>
                <w:sz w:val="20"/>
                <w:szCs w:val="20"/>
                <w:highlight w:val="yellow"/>
              </w:rPr>
            </w:pPr>
          </w:p>
          <w:p w14:paraId="0B6F728F" w14:textId="523A3A3B" w:rsidR="0078131C" w:rsidRPr="00AB7159" w:rsidRDefault="0078131C" w:rsidP="005763EC">
            <w:pPr>
              <w:ind w:left="120"/>
              <w:rPr>
                <w:rFonts w:ascii="Arial" w:hAnsi="Arial" w:cs="Arial"/>
                <w:sz w:val="20"/>
                <w:szCs w:val="20"/>
              </w:rPr>
            </w:pPr>
            <w:r w:rsidRPr="00AB7159">
              <w:rPr>
                <w:rFonts w:ascii="Arial" w:hAnsi="Arial" w:cs="Arial"/>
                <w:b/>
                <w:sz w:val="20"/>
                <w:szCs w:val="20"/>
              </w:rPr>
              <w:t>(Safeguard)</w:t>
            </w:r>
            <w:r w:rsidRPr="00AB7159">
              <w:rPr>
                <w:rFonts w:ascii="Arial" w:hAnsi="Arial" w:cs="Arial"/>
                <w:sz w:val="20"/>
                <w:szCs w:val="20"/>
              </w:rPr>
              <w:t xml:space="preserve"> The WRF requires for Parties to periodically submit how address and respect </w:t>
            </w:r>
            <w:r w:rsidRPr="00AB7159">
              <w:rPr>
                <w:rFonts w:ascii="Arial" w:eastAsia="나눔고딕" w:hAnsi="Arial" w:cs="Arial"/>
                <w:sz w:val="20"/>
                <w:szCs w:val="20"/>
              </w:rPr>
              <w:t xml:space="preserve">(para. 4, Decision 9/CP.19, para. 2, Decision 12/CP.19) </w:t>
            </w:r>
            <w:r w:rsidRPr="00AB7159">
              <w:rPr>
                <w:rFonts w:ascii="Arial" w:hAnsi="Arial" w:cs="Arial"/>
                <w:b/>
                <w:sz w:val="20"/>
                <w:szCs w:val="20"/>
              </w:rPr>
              <w:t>the referred seven issues on social/environmental safeguards of</w:t>
            </w:r>
            <w:r w:rsidRPr="00AB7159">
              <w:rPr>
                <w:rFonts w:ascii="Arial" w:hAnsi="Arial" w:cs="Arial"/>
                <w:sz w:val="20"/>
                <w:szCs w:val="20"/>
              </w:rPr>
              <w:t xml:space="preserve"> national forest governance, respect for rights of indigenous peoples and participation, the conservation of natural forests and </w:t>
            </w:r>
            <w:r w:rsidRPr="00AB7159">
              <w:rPr>
                <w:rFonts w:ascii="Arial" w:hAnsi="Arial" w:cs="Arial"/>
                <w:b/>
                <w:sz w:val="20"/>
                <w:szCs w:val="20"/>
              </w:rPr>
              <w:t>actions to address the risks of reversals</w:t>
            </w:r>
            <w:r w:rsidRPr="00AB7159">
              <w:rPr>
                <w:rFonts w:ascii="Arial" w:hAnsi="Arial" w:cs="Arial"/>
                <w:sz w:val="20"/>
                <w:szCs w:val="20"/>
              </w:rPr>
              <w:t xml:space="preserve"> </w:t>
            </w:r>
            <w:r w:rsidRPr="00AB7159">
              <w:rPr>
                <w:rFonts w:ascii="Arial" w:eastAsia="나눔고딕" w:hAnsi="Arial" w:cs="Arial"/>
                <w:sz w:val="20"/>
                <w:szCs w:val="20"/>
              </w:rPr>
              <w:t>(Para. 2(</w:t>
            </w:r>
            <w:proofErr w:type="spellStart"/>
            <w:r w:rsidRPr="00AB7159">
              <w:rPr>
                <w:rFonts w:ascii="Arial" w:eastAsia="나눔고딕" w:hAnsi="Arial" w:cs="Arial"/>
                <w:sz w:val="20"/>
                <w:szCs w:val="20"/>
              </w:rPr>
              <w:t>a~g</w:t>
            </w:r>
            <w:proofErr w:type="spellEnd"/>
            <w:r w:rsidRPr="00AB7159">
              <w:rPr>
                <w:rFonts w:ascii="Arial" w:eastAsia="나눔고딕" w:hAnsi="Arial" w:cs="Arial"/>
                <w:sz w:val="20"/>
                <w:szCs w:val="20"/>
              </w:rPr>
              <w:t>), A</w:t>
            </w:r>
            <w:r w:rsidR="002E78FE" w:rsidRPr="00AB7159">
              <w:rPr>
                <w:rFonts w:ascii="Arial" w:eastAsia="나눔고딕" w:hAnsi="Arial" w:cs="Arial"/>
                <w:sz w:val="20"/>
                <w:szCs w:val="20"/>
              </w:rPr>
              <w:t>ppendix</w:t>
            </w:r>
            <w:r w:rsidRPr="00AB7159">
              <w:rPr>
                <w:rFonts w:ascii="Arial" w:eastAsia="나눔고딕" w:hAnsi="Arial" w:cs="Arial"/>
                <w:sz w:val="20"/>
                <w:szCs w:val="20"/>
              </w:rPr>
              <w:t xml:space="preserve"> I, Decision 1/CP.16)</w:t>
            </w:r>
            <w:r w:rsidRPr="00AB7159">
              <w:rPr>
                <w:rFonts w:ascii="Arial" w:hAnsi="Arial" w:cs="Arial"/>
                <w:sz w:val="20"/>
                <w:szCs w:val="20"/>
              </w:rPr>
              <w:t xml:space="preserve"> through safeguards information systems, and do in a way that ensures transparency, consistency, comprehensiveness and effectiveness </w:t>
            </w:r>
            <w:r w:rsidRPr="00AB7159">
              <w:rPr>
                <w:rFonts w:ascii="Arial" w:eastAsia="나눔고딕" w:hAnsi="Arial" w:cs="Arial"/>
                <w:sz w:val="20"/>
                <w:szCs w:val="20"/>
              </w:rPr>
              <w:t>(para. 3, Decision 17/CP.21)</w:t>
            </w:r>
            <w:r w:rsidRPr="00AB7159">
              <w:rPr>
                <w:rFonts w:ascii="Arial" w:hAnsi="Arial" w:cs="Arial"/>
                <w:sz w:val="20"/>
                <w:szCs w:val="20"/>
              </w:rPr>
              <w:t>.</w:t>
            </w:r>
          </w:p>
          <w:p w14:paraId="4D8A8A86" w14:textId="77777777" w:rsidR="0078131C" w:rsidRPr="00AB7159" w:rsidRDefault="0078131C" w:rsidP="005763EC">
            <w:pPr>
              <w:ind w:left="120"/>
              <w:rPr>
                <w:rFonts w:ascii="Arial" w:hAnsi="Arial" w:cs="Arial"/>
                <w:sz w:val="20"/>
                <w:szCs w:val="20"/>
              </w:rPr>
            </w:pPr>
          </w:p>
          <w:p w14:paraId="3BEEAC79" w14:textId="6958F15C" w:rsidR="0078131C" w:rsidRPr="00AB7159" w:rsidRDefault="0078131C" w:rsidP="00CF4634">
            <w:pPr>
              <w:ind w:left="120"/>
              <w:rPr>
                <w:rFonts w:ascii="Arial" w:eastAsia="나눔고딕" w:hAnsi="Arial" w:cs="Arial"/>
                <w:sz w:val="20"/>
                <w:szCs w:val="20"/>
              </w:rPr>
            </w:pPr>
            <w:r w:rsidRPr="00AB7159">
              <w:rPr>
                <w:rFonts w:ascii="Arial" w:hAnsi="Arial" w:cs="Arial"/>
                <w:b/>
                <w:sz w:val="20"/>
                <w:szCs w:val="20"/>
              </w:rPr>
              <w:t xml:space="preserve">(REDD+ Registry) </w:t>
            </w:r>
            <w:r w:rsidRPr="00AB7159">
              <w:rPr>
                <w:rFonts w:ascii="Arial" w:hAnsi="Arial" w:cs="Arial"/>
                <w:sz w:val="20"/>
                <w:szCs w:val="20"/>
              </w:rPr>
              <w:t xml:space="preserve">All information, documents submitted by each Party and TAR by UNFCCC over the issues and procedures above are registered to and disclosed in </w:t>
            </w:r>
            <w:r w:rsidRPr="00AB7159">
              <w:rPr>
                <w:rFonts w:ascii="Arial" w:hAnsi="Arial" w:cs="Arial"/>
                <w:b/>
                <w:sz w:val="20"/>
                <w:szCs w:val="20"/>
              </w:rPr>
              <w:t xml:space="preserve">the REDD+ web platform established and operated by UNFCCC </w:t>
            </w:r>
            <w:r w:rsidRPr="00AB7159">
              <w:rPr>
                <w:rFonts w:ascii="Arial" w:eastAsia="나눔고딕" w:hAnsi="Arial" w:cs="Arial"/>
                <w:b/>
                <w:sz w:val="20"/>
                <w:szCs w:val="20"/>
              </w:rPr>
              <w:t xml:space="preserve">(https://redd.unfccc.int) </w:t>
            </w:r>
            <w:r w:rsidRPr="00AB7159">
              <w:rPr>
                <w:rFonts w:ascii="Arial" w:eastAsia="나눔고딕" w:hAnsi="Arial" w:cs="Arial"/>
                <w:sz w:val="20"/>
                <w:szCs w:val="20"/>
              </w:rPr>
              <w:t xml:space="preserve">(para. 10, Decision 2/CP.13, para. 18, Annex, Decision 13/CP.19, para. 14/CP.19). Also, this web platform includes REDD+ registry and transparently manages approved FRELs/FRLs, results per year and information on result-based payments corresponding to the results (para. 14, Decision 12/CP.17, para. 9, </w:t>
            </w:r>
            <w:proofErr w:type="gramStart"/>
            <w:r w:rsidRPr="00AB7159">
              <w:rPr>
                <w:rFonts w:ascii="Arial" w:eastAsia="나눔고딕" w:hAnsi="Arial" w:cs="Arial"/>
                <w:sz w:val="20"/>
                <w:szCs w:val="20"/>
              </w:rPr>
              <w:t>Decision</w:t>
            </w:r>
            <w:proofErr w:type="gramEnd"/>
            <w:r w:rsidRPr="00AB7159">
              <w:rPr>
                <w:rFonts w:ascii="Arial" w:eastAsia="나눔고딕" w:hAnsi="Arial" w:cs="Arial"/>
                <w:sz w:val="20"/>
                <w:szCs w:val="20"/>
              </w:rPr>
              <w:t xml:space="preserve"> 9/CP.19).</w:t>
            </w:r>
          </w:p>
        </w:tc>
      </w:tr>
    </w:tbl>
    <w:p w14:paraId="42A6D106" w14:textId="77777777" w:rsidR="0078131C" w:rsidRPr="00AB7159" w:rsidRDefault="0078131C" w:rsidP="00B30E04">
      <w:pPr>
        <w:rPr>
          <w:rFonts w:ascii="Arial" w:hAnsi="Arial" w:cs="Arial"/>
          <w:sz w:val="20"/>
          <w:szCs w:val="20"/>
        </w:rPr>
      </w:pPr>
    </w:p>
    <w:p w14:paraId="16C24702" w14:textId="77777777" w:rsidR="00B30E04" w:rsidRPr="00AB7159" w:rsidRDefault="00B30E04" w:rsidP="00B30E04">
      <w:pPr>
        <w:rPr>
          <w:rFonts w:ascii="Arial" w:hAnsi="Arial" w:cs="Arial"/>
          <w:sz w:val="20"/>
          <w:szCs w:val="20"/>
        </w:rPr>
      </w:pPr>
      <w:r w:rsidRPr="00AB7159">
        <w:rPr>
          <w:rFonts w:ascii="Arial" w:hAnsi="Arial" w:cs="Arial"/>
          <w:sz w:val="20"/>
          <w:szCs w:val="20"/>
        </w:rPr>
        <w:t xml:space="preserve">In addition, the provision to clarify the sequence the Article 6 TER and the Article 13 TER is needed so that the Article 6 TER is completed with sufficient time for the report to be sent to the Article 13 TER. </w:t>
      </w:r>
    </w:p>
    <w:p w14:paraId="733932D1" w14:textId="2CAB5B51" w:rsidR="00FC3F39" w:rsidRPr="00AB7159" w:rsidRDefault="00FC3F39" w:rsidP="00582AAE">
      <w:pPr>
        <w:rPr>
          <w:rFonts w:ascii="Arial" w:hAnsi="Arial" w:cs="Arial"/>
          <w:sz w:val="20"/>
          <w:szCs w:val="20"/>
        </w:rPr>
      </w:pPr>
    </w:p>
    <w:p w14:paraId="146E9A1D" w14:textId="77777777" w:rsidR="00D5700F" w:rsidRDefault="00D5700F" w:rsidP="001B0843">
      <w:pPr>
        <w:jc w:val="center"/>
        <w:rPr>
          <w:rFonts w:ascii="Arial" w:hAnsi="Arial" w:cs="Arial"/>
          <w:sz w:val="20"/>
          <w:szCs w:val="20"/>
        </w:rPr>
      </w:pPr>
    </w:p>
    <w:p w14:paraId="721AF790" w14:textId="4A4CE478" w:rsidR="00D5700F" w:rsidRDefault="001B0843" w:rsidP="001B0843">
      <w:pPr>
        <w:jc w:val="center"/>
        <w:rPr>
          <w:rFonts w:ascii="Arial" w:hAnsi="Arial" w:cs="Arial"/>
          <w:sz w:val="20"/>
          <w:szCs w:val="20"/>
        </w:rPr>
      </w:pPr>
      <w:r>
        <w:rPr>
          <w:rFonts w:ascii="Arial" w:hAnsi="Arial" w:cs="Arial" w:hint="eastAsia"/>
          <w:sz w:val="20"/>
          <w:szCs w:val="20"/>
        </w:rPr>
        <w:t>T</w:t>
      </w:r>
      <w:r>
        <w:rPr>
          <w:rFonts w:ascii="Arial" w:hAnsi="Arial" w:cs="Arial"/>
          <w:sz w:val="20"/>
          <w:szCs w:val="20"/>
        </w:rPr>
        <w:t>h</w:t>
      </w:r>
      <w:r>
        <w:rPr>
          <w:rFonts w:ascii="Arial" w:hAnsi="Arial" w:cs="Arial" w:hint="eastAsia"/>
          <w:sz w:val="20"/>
          <w:szCs w:val="20"/>
        </w:rPr>
        <w:t>e end</w:t>
      </w:r>
    </w:p>
    <w:p w14:paraId="0F9855E3" w14:textId="77777777" w:rsidR="00D5700F" w:rsidRDefault="00D5700F" w:rsidP="00582AAE">
      <w:pPr>
        <w:rPr>
          <w:rFonts w:ascii="Arial" w:hAnsi="Arial" w:cs="Arial"/>
          <w:sz w:val="20"/>
          <w:szCs w:val="20"/>
        </w:rPr>
      </w:pPr>
    </w:p>
    <w:p w14:paraId="6223A1A1" w14:textId="77777777" w:rsidR="00D5700F" w:rsidRDefault="00D5700F" w:rsidP="00582AAE">
      <w:pPr>
        <w:rPr>
          <w:rFonts w:ascii="Arial" w:hAnsi="Arial" w:cs="Arial"/>
          <w:sz w:val="20"/>
          <w:szCs w:val="20"/>
        </w:rPr>
      </w:pPr>
    </w:p>
    <w:p w14:paraId="0BFC9839" w14:textId="77777777" w:rsidR="00D5700F" w:rsidRDefault="00D5700F" w:rsidP="00582AAE">
      <w:pPr>
        <w:rPr>
          <w:rFonts w:ascii="Arial" w:hAnsi="Arial" w:cs="Arial"/>
          <w:sz w:val="20"/>
          <w:szCs w:val="20"/>
        </w:rPr>
      </w:pPr>
    </w:p>
    <w:p w14:paraId="74688A69" w14:textId="77777777" w:rsidR="00D5700F" w:rsidRDefault="00D5700F" w:rsidP="00582AAE">
      <w:pPr>
        <w:rPr>
          <w:rFonts w:ascii="Arial" w:hAnsi="Arial" w:cs="Arial"/>
          <w:sz w:val="20"/>
          <w:szCs w:val="20"/>
        </w:rPr>
      </w:pPr>
    </w:p>
    <w:p w14:paraId="6992D7D3" w14:textId="77777777" w:rsidR="00D5700F" w:rsidRDefault="00D5700F" w:rsidP="00582AAE">
      <w:pPr>
        <w:rPr>
          <w:rFonts w:ascii="Arial" w:hAnsi="Arial" w:cs="Arial"/>
          <w:sz w:val="20"/>
          <w:szCs w:val="20"/>
        </w:rPr>
      </w:pPr>
    </w:p>
    <w:sectPr w:rsidR="00D5700F" w:rsidSect="00102ADA">
      <w:pgSz w:w="11906" w:h="16838"/>
      <w:pgMar w:top="1701" w:right="1440" w:bottom="1440" w:left="1440" w:header="851" w:footer="992" w:gutter="0"/>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035A6" w16cex:dateUtc="2022-09-04T23:45:00Z"/>
  <w16cex:commentExtensible w16cex:durableId="26C03532" w16cex:dateUtc="2022-09-04T23:43:00Z"/>
  <w16cex:commentExtensible w16cex:durableId="26C03758" w16cex:dateUtc="2022-09-04T23:52:00Z"/>
  <w16cex:commentExtensible w16cex:durableId="26C0377A" w16cex:dateUtc="2022-09-04T23: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C43227" w16cid:durableId="26C054D9"/>
  <w16cid:commentId w16cid:paraId="63AD373B" w16cid:durableId="26C054ED"/>
  <w16cid:commentId w16cid:paraId="5B7AECBE" w16cid:durableId="26C0556A"/>
  <w16cid:commentId w16cid:paraId="137D662E" w16cid:durableId="26C055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74620" w14:textId="77777777" w:rsidR="00D52B5E" w:rsidRDefault="00D52B5E" w:rsidP="002B4506">
      <w:pPr>
        <w:spacing w:after="0" w:line="240" w:lineRule="auto"/>
      </w:pPr>
      <w:r>
        <w:separator/>
      </w:r>
    </w:p>
  </w:endnote>
  <w:endnote w:type="continuationSeparator" w:id="0">
    <w:p w14:paraId="755C1CE7" w14:textId="77777777" w:rsidR="00D52B5E" w:rsidRDefault="00D52B5E" w:rsidP="002B4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나눔고딕">
    <w:panose1 w:val="020D0604000000000000"/>
    <w:charset w:val="81"/>
    <w:family w:val="modern"/>
    <w:pitch w:val="variable"/>
    <w:sig w:usb0="900002A7" w:usb1="29D7FCFB" w:usb2="00000010" w:usb3="00000000" w:csb0="00080001" w:csb1="00000000"/>
  </w:font>
  <w:font w:name="휴먼명조">
    <w:altName w:val="바탕"/>
    <w:panose1 w:val="02010504000101010101"/>
    <w:charset w:val="81"/>
    <w:family w:val="roman"/>
    <w:notTrueType/>
    <w:pitch w:val="default"/>
    <w:sig w:usb0="00000000"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함초롬돋움">
    <w:panose1 w:val="020B0504000101010101"/>
    <w:charset w:val="81"/>
    <w:family w:val="modern"/>
    <w:pitch w:val="variable"/>
    <w:sig w:usb0="F7002EFF" w:usb1="19DFFFFF" w:usb2="001BFDD7" w:usb3="00000000" w:csb0="001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d"/>
      </w:rPr>
      <w:id w:val="-2031400143"/>
      <w:docPartObj>
        <w:docPartGallery w:val="Page Numbers (Bottom of Page)"/>
        <w:docPartUnique/>
      </w:docPartObj>
    </w:sdtPr>
    <w:sdtEndPr>
      <w:rPr>
        <w:rStyle w:val="ad"/>
      </w:rPr>
    </w:sdtEndPr>
    <w:sdtContent>
      <w:p w14:paraId="6B513C22" w14:textId="1B9EC3DB" w:rsidR="00CD6162" w:rsidRDefault="00CD6162" w:rsidP="008A3B46">
        <w:pPr>
          <w:pStyle w:val="a4"/>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07FC0B7C" w14:textId="77777777" w:rsidR="00CD6162" w:rsidRDefault="00CD6162" w:rsidP="00B80ED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d"/>
      </w:rPr>
      <w:id w:val="699973616"/>
      <w:docPartObj>
        <w:docPartGallery w:val="Page Numbers (Bottom of Page)"/>
        <w:docPartUnique/>
      </w:docPartObj>
    </w:sdtPr>
    <w:sdtEndPr>
      <w:rPr>
        <w:rStyle w:val="ad"/>
      </w:rPr>
    </w:sdtEndPr>
    <w:sdtContent>
      <w:p w14:paraId="6F752FF3" w14:textId="6C5ADEC3" w:rsidR="00CD6162" w:rsidRDefault="00CD6162" w:rsidP="008A3B46">
        <w:pPr>
          <w:pStyle w:val="a4"/>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53481A">
          <w:rPr>
            <w:rStyle w:val="ad"/>
            <w:noProof/>
          </w:rPr>
          <w:t>2</w:t>
        </w:r>
        <w:r>
          <w:rPr>
            <w:rStyle w:val="ad"/>
          </w:rPr>
          <w:fldChar w:fldCharType="end"/>
        </w:r>
      </w:p>
    </w:sdtContent>
  </w:sdt>
  <w:p w14:paraId="575EEB49" w14:textId="77777777" w:rsidR="00CD6162" w:rsidRDefault="00CD6162" w:rsidP="00B80ED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F5D2F" w14:textId="77777777" w:rsidR="00D52B5E" w:rsidRDefault="00D52B5E" w:rsidP="002B4506">
      <w:pPr>
        <w:spacing w:after="0" w:line="240" w:lineRule="auto"/>
      </w:pPr>
      <w:r>
        <w:separator/>
      </w:r>
    </w:p>
  </w:footnote>
  <w:footnote w:type="continuationSeparator" w:id="0">
    <w:p w14:paraId="0248777A" w14:textId="77777777" w:rsidR="00D52B5E" w:rsidRDefault="00D52B5E" w:rsidP="002B4506">
      <w:pPr>
        <w:spacing w:after="0" w:line="240" w:lineRule="auto"/>
      </w:pPr>
      <w:r>
        <w:continuationSeparator/>
      </w:r>
    </w:p>
  </w:footnote>
  <w:footnote w:id="1">
    <w:p w14:paraId="39737049" w14:textId="533F3AF8" w:rsidR="00CD6162" w:rsidRPr="00ED29A0" w:rsidRDefault="00CD6162">
      <w:pPr>
        <w:pStyle w:val="a6"/>
        <w:rPr>
          <w:lang w:val="en-US"/>
        </w:rPr>
      </w:pPr>
      <w:r>
        <w:rPr>
          <w:rStyle w:val="a7"/>
        </w:rPr>
        <w:footnoteRef/>
      </w:r>
      <w:r>
        <w:t xml:space="preserve"> </w:t>
      </w:r>
      <w:hyperlink r:id="rId1" w:history="1">
        <w:r w:rsidRPr="0051737E">
          <w:rPr>
            <w:rStyle w:val="ab"/>
          </w:rPr>
          <w:t>https://unfccc.int/documents/510309</w:t>
        </w:r>
      </w:hyperlink>
    </w:p>
  </w:footnote>
  <w:footnote w:id="2">
    <w:p w14:paraId="5CCB10B0" w14:textId="77777777" w:rsidR="00CD6162" w:rsidRDefault="00CD6162" w:rsidP="00ED29A0">
      <w:pPr>
        <w:pStyle w:val="a6"/>
      </w:pPr>
      <w:r>
        <w:rPr>
          <w:rStyle w:val="a7"/>
        </w:rPr>
        <w:footnoteRef/>
      </w:r>
      <w:r>
        <w:t xml:space="preserve"> </w:t>
      </w:r>
      <w:hyperlink r:id="rId2" w:history="1">
        <w:r w:rsidRPr="00401241">
          <w:rPr>
            <w:rStyle w:val="ab"/>
            <w:w w:val="90"/>
          </w:rPr>
          <w:t>https://unfccc.int/sites/default/files/resource/Informal_Report_Art.6.2%20workshop_Reporting.pdf</w:t>
        </w:r>
      </w:hyperlink>
      <w:r w:rsidRPr="00401241">
        <w:rPr>
          <w:w w:val="90"/>
        </w:rPr>
        <w:t xml:space="preserve"> and </w:t>
      </w:r>
      <w:hyperlink r:id="rId3" w:history="1">
        <w:r w:rsidRPr="00401241">
          <w:rPr>
            <w:rStyle w:val="ab"/>
            <w:w w:val="90"/>
          </w:rPr>
          <w:t>https://unfccc.int/sites/default/files/resource/Informal_Report_Art.6.2%20workshop_Infrastructure.pdf</w:t>
        </w:r>
      </w:hyperlink>
      <w:r>
        <w:t xml:space="preserve"> </w:t>
      </w:r>
    </w:p>
  </w:footnote>
  <w:footnote w:id="3">
    <w:p w14:paraId="754C19CF" w14:textId="77777777" w:rsidR="00CD6162" w:rsidRDefault="00CD6162" w:rsidP="00ED29A0">
      <w:pPr>
        <w:pStyle w:val="a6"/>
      </w:pPr>
      <w:r>
        <w:rPr>
          <w:rStyle w:val="a7"/>
        </w:rPr>
        <w:footnoteRef/>
      </w:r>
      <w:r>
        <w:t xml:space="preserve"> </w:t>
      </w:r>
      <w:r w:rsidRPr="00313229">
        <w:rPr>
          <w:rStyle w:val="ab"/>
        </w:rPr>
        <w:t>htt</w:t>
      </w:r>
      <w:r>
        <w:rPr>
          <w:rStyle w:val="ab"/>
        </w:rPr>
        <w:t>ps://unfccc.int/documents/510489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093A"/>
    <w:multiLevelType w:val="hybridMultilevel"/>
    <w:tmpl w:val="909051C6"/>
    <w:lvl w:ilvl="0" w:tplc="BAE8016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0A448D2"/>
    <w:multiLevelType w:val="hybridMultilevel"/>
    <w:tmpl w:val="DD8E1368"/>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18734CF"/>
    <w:multiLevelType w:val="hybridMultilevel"/>
    <w:tmpl w:val="939411B2"/>
    <w:lvl w:ilvl="0" w:tplc="B434B6DC">
      <w:start w:val="1"/>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01EB54EF"/>
    <w:multiLevelType w:val="hybridMultilevel"/>
    <w:tmpl w:val="361424E6"/>
    <w:lvl w:ilvl="0" w:tplc="1CE6F174">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07B00BD6"/>
    <w:multiLevelType w:val="hybridMultilevel"/>
    <w:tmpl w:val="A4CA65E0"/>
    <w:lvl w:ilvl="0" w:tplc="74681400">
      <w:start w:val="1"/>
      <w:numFmt w:val="bullet"/>
      <w:lvlText w:val="-"/>
      <w:lvlJc w:val="left"/>
      <w:pPr>
        <w:ind w:left="760" w:hanging="360"/>
      </w:pPr>
      <w:rPr>
        <w:rFonts w:ascii="Arial" w:eastAsia="Arial Unicode MS"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8612076"/>
    <w:multiLevelType w:val="hybridMultilevel"/>
    <w:tmpl w:val="F1DE7B9E"/>
    <w:lvl w:ilvl="0" w:tplc="4700254A">
      <w:numFmt w:val="bullet"/>
      <w:lvlText w:val="-"/>
      <w:lvlJc w:val="left"/>
      <w:pPr>
        <w:ind w:left="760" w:hanging="360"/>
      </w:pPr>
      <w:rPr>
        <w:rFonts w:ascii="Calibri" w:eastAsia="나눔고딕"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1215EE5"/>
    <w:multiLevelType w:val="hybridMultilevel"/>
    <w:tmpl w:val="8CA4F2B2"/>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4EB306E"/>
    <w:multiLevelType w:val="hybridMultilevel"/>
    <w:tmpl w:val="35DEF8E2"/>
    <w:lvl w:ilvl="0" w:tplc="135AB37C">
      <w:start w:val="2"/>
      <w:numFmt w:val="bullet"/>
      <w:lvlText w:val="-"/>
      <w:lvlJc w:val="left"/>
      <w:pPr>
        <w:ind w:left="480" w:hanging="360"/>
      </w:pPr>
      <w:rPr>
        <w:rFonts w:ascii="Calibri" w:eastAsiaTheme="minorEastAsia" w:hAnsi="Calibri" w:cs="Calibri"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abstractNum w:abstractNumId="8">
    <w:nsid w:val="170E3249"/>
    <w:multiLevelType w:val="hybridMultilevel"/>
    <w:tmpl w:val="5AC6DC72"/>
    <w:lvl w:ilvl="0" w:tplc="AF1EBDC2">
      <w:start w:val="100"/>
      <w:numFmt w:val="upperRoman"/>
      <w:lvlText w:val="%1."/>
      <w:lvlJc w:val="left"/>
      <w:pPr>
        <w:ind w:left="1880" w:hanging="72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9">
    <w:nsid w:val="1B523CE4"/>
    <w:multiLevelType w:val="hybridMultilevel"/>
    <w:tmpl w:val="4FCE16B4"/>
    <w:lvl w:ilvl="0" w:tplc="E426357C">
      <w:start w:val="100"/>
      <w:numFmt w:val="upperRoman"/>
      <w:lvlText w:val="%1."/>
      <w:lvlJc w:val="left"/>
      <w:pPr>
        <w:ind w:left="1880" w:hanging="72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0">
    <w:nsid w:val="1B6F2BC1"/>
    <w:multiLevelType w:val="hybridMultilevel"/>
    <w:tmpl w:val="824E91D6"/>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15C09F5"/>
    <w:multiLevelType w:val="hybridMultilevel"/>
    <w:tmpl w:val="48D0D4DE"/>
    <w:lvl w:ilvl="0" w:tplc="04090019">
      <w:start w:val="1"/>
      <w:numFmt w:val="upperLetter"/>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2">
    <w:nsid w:val="221D64D0"/>
    <w:multiLevelType w:val="hybridMultilevel"/>
    <w:tmpl w:val="75DC0FF8"/>
    <w:lvl w:ilvl="0" w:tplc="04090019">
      <w:start w:val="1"/>
      <w:numFmt w:val="upperLetter"/>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2BBF0A38"/>
    <w:multiLevelType w:val="hybridMultilevel"/>
    <w:tmpl w:val="8B7CA9E2"/>
    <w:lvl w:ilvl="0" w:tplc="1CE6F174">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36504FFB"/>
    <w:multiLevelType w:val="hybridMultilevel"/>
    <w:tmpl w:val="0BBC9AD2"/>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3770780A"/>
    <w:multiLevelType w:val="hybridMultilevel"/>
    <w:tmpl w:val="8544F5B2"/>
    <w:lvl w:ilvl="0" w:tplc="DCEE332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7E62BDB"/>
    <w:multiLevelType w:val="hybridMultilevel"/>
    <w:tmpl w:val="38E2C328"/>
    <w:lvl w:ilvl="0" w:tplc="E3667A5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8973695"/>
    <w:multiLevelType w:val="hybridMultilevel"/>
    <w:tmpl w:val="7786BC08"/>
    <w:lvl w:ilvl="0" w:tplc="00E00D3E">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39E136B5"/>
    <w:multiLevelType w:val="hybridMultilevel"/>
    <w:tmpl w:val="FB86EE68"/>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3D4F3B56"/>
    <w:multiLevelType w:val="hybridMultilevel"/>
    <w:tmpl w:val="2B8C293A"/>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3D7912CF"/>
    <w:multiLevelType w:val="hybridMultilevel"/>
    <w:tmpl w:val="3D1A8B9C"/>
    <w:lvl w:ilvl="0" w:tplc="D0E22D14">
      <w:start w:val="1"/>
      <w:numFmt w:val="upperRoman"/>
      <w:lvlText w:val="%1."/>
      <w:lvlJc w:val="left"/>
      <w:pPr>
        <w:ind w:left="1120" w:hanging="720"/>
      </w:pPr>
      <w:rPr>
        <w:rFonts w:hint="default"/>
      </w:rPr>
    </w:lvl>
    <w:lvl w:ilvl="1" w:tplc="7C762C60">
      <w:start w:val="1"/>
      <w:numFmt w:val="upperLetter"/>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3ED812A9"/>
    <w:multiLevelType w:val="hybridMultilevel"/>
    <w:tmpl w:val="D5A6E39C"/>
    <w:lvl w:ilvl="0" w:tplc="9A24CCC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43F13918"/>
    <w:multiLevelType w:val="hybridMultilevel"/>
    <w:tmpl w:val="0A20A8EA"/>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4BBB7867"/>
    <w:multiLevelType w:val="hybridMultilevel"/>
    <w:tmpl w:val="8FA66C12"/>
    <w:lvl w:ilvl="0" w:tplc="04090019">
      <w:start w:val="1"/>
      <w:numFmt w:val="upperLetter"/>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24">
    <w:nsid w:val="4CD00EC9"/>
    <w:multiLevelType w:val="hybridMultilevel"/>
    <w:tmpl w:val="F5B81E9C"/>
    <w:lvl w:ilvl="0" w:tplc="09289692">
      <w:numFmt w:val="bullet"/>
      <w:lvlText w:val=""/>
      <w:lvlJc w:val="left"/>
      <w:pPr>
        <w:ind w:left="760" w:hanging="360"/>
      </w:pPr>
      <w:rPr>
        <w:rFonts w:ascii="Wingdings" w:eastAsia="Arial Unicode MS" w:hAnsi="Wingdings" w:cs="Arial Unicode M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55BD6FD5"/>
    <w:multiLevelType w:val="hybridMultilevel"/>
    <w:tmpl w:val="1A4C4ABE"/>
    <w:lvl w:ilvl="0" w:tplc="04090013">
      <w:start w:val="1"/>
      <w:numFmt w:val="upperRoman"/>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56007932"/>
    <w:multiLevelType w:val="hybridMultilevel"/>
    <w:tmpl w:val="91DC1E96"/>
    <w:lvl w:ilvl="0" w:tplc="1CE6F174">
      <w:start w:val="1"/>
      <w:numFmt w:val="upperLetter"/>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5F371E3B"/>
    <w:multiLevelType w:val="hybridMultilevel"/>
    <w:tmpl w:val="920C6DFC"/>
    <w:lvl w:ilvl="0" w:tplc="76C83BD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620231FA"/>
    <w:multiLevelType w:val="hybridMultilevel"/>
    <w:tmpl w:val="E3641968"/>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6C2F0B0B"/>
    <w:multiLevelType w:val="hybridMultilevel"/>
    <w:tmpl w:val="93A6BDA0"/>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6EEC2B16"/>
    <w:multiLevelType w:val="hybridMultilevel"/>
    <w:tmpl w:val="BBB6A63A"/>
    <w:lvl w:ilvl="0" w:tplc="53AECC2E">
      <w:start w:val="4"/>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765F6E92"/>
    <w:multiLevelType w:val="hybridMultilevel"/>
    <w:tmpl w:val="4F2E045C"/>
    <w:lvl w:ilvl="0" w:tplc="04090019">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nsid w:val="76DE65B0"/>
    <w:multiLevelType w:val="hybridMultilevel"/>
    <w:tmpl w:val="97D082B4"/>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nsid w:val="7A7D5B99"/>
    <w:multiLevelType w:val="hybridMultilevel"/>
    <w:tmpl w:val="EF1822EA"/>
    <w:lvl w:ilvl="0" w:tplc="BCE42E92">
      <w:start w:val="4"/>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7BC918BB"/>
    <w:multiLevelType w:val="hybridMultilevel"/>
    <w:tmpl w:val="C818FCCC"/>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7ECA6DDF"/>
    <w:multiLevelType w:val="hybridMultilevel"/>
    <w:tmpl w:val="9B7677EC"/>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7"/>
  </w:num>
  <w:num w:numId="2">
    <w:abstractNumId w:val="17"/>
  </w:num>
  <w:num w:numId="3">
    <w:abstractNumId w:val="20"/>
  </w:num>
  <w:num w:numId="4">
    <w:abstractNumId w:val="2"/>
  </w:num>
  <w:num w:numId="5">
    <w:abstractNumId w:val="25"/>
  </w:num>
  <w:num w:numId="6">
    <w:abstractNumId w:val="31"/>
  </w:num>
  <w:num w:numId="7">
    <w:abstractNumId w:val="33"/>
  </w:num>
  <w:num w:numId="8">
    <w:abstractNumId w:val="0"/>
  </w:num>
  <w:num w:numId="9">
    <w:abstractNumId w:val="15"/>
  </w:num>
  <w:num w:numId="10">
    <w:abstractNumId w:val="16"/>
  </w:num>
  <w:num w:numId="11">
    <w:abstractNumId w:val="21"/>
  </w:num>
  <w:num w:numId="12">
    <w:abstractNumId w:val="30"/>
  </w:num>
  <w:num w:numId="13">
    <w:abstractNumId w:val="5"/>
  </w:num>
  <w:num w:numId="14">
    <w:abstractNumId w:val="7"/>
  </w:num>
  <w:num w:numId="15">
    <w:abstractNumId w:val="4"/>
  </w:num>
  <w:num w:numId="16">
    <w:abstractNumId w:val="12"/>
  </w:num>
  <w:num w:numId="17">
    <w:abstractNumId w:val="12"/>
    <w:lvlOverride w:ilvl="0">
      <w:lvl w:ilvl="0" w:tplc="04090019">
        <w:start w:val="1"/>
        <w:numFmt w:val="upperLetter"/>
        <w:lvlText w:val="%1."/>
        <w:lvlJc w:val="left"/>
        <w:pPr>
          <w:ind w:left="1200" w:hanging="400"/>
        </w:pPr>
      </w:lvl>
    </w:lvlOverride>
    <w:lvlOverride w:ilvl="1">
      <w:lvl w:ilvl="1" w:tplc="04090019">
        <w:start w:val="1"/>
        <w:numFmt w:val="upperLetter"/>
        <w:lvlText w:val="%2."/>
        <w:lvlJc w:val="left"/>
        <w:pPr>
          <w:ind w:left="1600" w:hanging="400"/>
        </w:pPr>
      </w:lvl>
    </w:lvlOverride>
    <w:lvlOverride w:ilvl="2">
      <w:lvl w:ilvl="2" w:tplc="0409001B" w:tentative="1">
        <w:start w:val="1"/>
        <w:numFmt w:val="lowerRoman"/>
        <w:lvlText w:val="%3."/>
        <w:lvlJc w:val="right"/>
        <w:pPr>
          <w:ind w:left="2000" w:hanging="400"/>
        </w:pPr>
      </w:lvl>
    </w:lvlOverride>
    <w:lvlOverride w:ilvl="3">
      <w:lvl w:ilvl="3" w:tplc="0409000F" w:tentative="1">
        <w:start w:val="1"/>
        <w:numFmt w:val="decimal"/>
        <w:lvlText w:val="%4."/>
        <w:lvlJc w:val="left"/>
        <w:pPr>
          <w:ind w:left="2400" w:hanging="400"/>
        </w:pPr>
      </w:lvl>
    </w:lvlOverride>
    <w:lvlOverride w:ilvl="4">
      <w:lvl w:ilvl="4" w:tplc="04090019" w:tentative="1">
        <w:start w:val="1"/>
        <w:numFmt w:val="upperLetter"/>
        <w:lvlText w:val="%5."/>
        <w:lvlJc w:val="left"/>
        <w:pPr>
          <w:ind w:left="2800" w:hanging="400"/>
        </w:pPr>
      </w:lvl>
    </w:lvlOverride>
    <w:lvlOverride w:ilvl="5">
      <w:lvl w:ilvl="5" w:tplc="0409001B" w:tentative="1">
        <w:start w:val="1"/>
        <w:numFmt w:val="lowerRoman"/>
        <w:lvlText w:val="%6."/>
        <w:lvlJc w:val="right"/>
        <w:pPr>
          <w:ind w:left="3200" w:hanging="400"/>
        </w:pPr>
      </w:lvl>
    </w:lvlOverride>
    <w:lvlOverride w:ilvl="6">
      <w:lvl w:ilvl="6" w:tplc="0409000F" w:tentative="1">
        <w:start w:val="1"/>
        <w:numFmt w:val="decimal"/>
        <w:lvlText w:val="%7."/>
        <w:lvlJc w:val="left"/>
        <w:pPr>
          <w:ind w:left="3600" w:hanging="400"/>
        </w:pPr>
      </w:lvl>
    </w:lvlOverride>
    <w:lvlOverride w:ilvl="7">
      <w:lvl w:ilvl="7" w:tplc="04090019" w:tentative="1">
        <w:start w:val="1"/>
        <w:numFmt w:val="upperLetter"/>
        <w:lvlText w:val="%8."/>
        <w:lvlJc w:val="left"/>
        <w:pPr>
          <w:ind w:left="4000" w:hanging="400"/>
        </w:pPr>
      </w:lvl>
    </w:lvlOverride>
    <w:lvlOverride w:ilvl="8">
      <w:lvl w:ilvl="8" w:tplc="0409001B" w:tentative="1">
        <w:start w:val="1"/>
        <w:numFmt w:val="lowerRoman"/>
        <w:lvlText w:val="%9."/>
        <w:lvlJc w:val="right"/>
        <w:pPr>
          <w:ind w:left="4400" w:hanging="400"/>
        </w:pPr>
      </w:lvl>
    </w:lvlOverride>
  </w:num>
  <w:num w:numId="18">
    <w:abstractNumId w:val="23"/>
  </w:num>
  <w:num w:numId="19">
    <w:abstractNumId w:val="26"/>
  </w:num>
  <w:num w:numId="20">
    <w:abstractNumId w:val="3"/>
  </w:num>
  <w:num w:numId="21">
    <w:abstractNumId w:val="34"/>
  </w:num>
  <w:num w:numId="22">
    <w:abstractNumId w:val="13"/>
  </w:num>
  <w:num w:numId="23">
    <w:abstractNumId w:val="11"/>
  </w:num>
  <w:num w:numId="24">
    <w:abstractNumId w:val="1"/>
  </w:num>
  <w:num w:numId="25">
    <w:abstractNumId w:val="14"/>
  </w:num>
  <w:num w:numId="26">
    <w:abstractNumId w:val="32"/>
  </w:num>
  <w:num w:numId="27">
    <w:abstractNumId w:val="10"/>
  </w:num>
  <w:num w:numId="28">
    <w:abstractNumId w:val="22"/>
  </w:num>
  <w:num w:numId="29">
    <w:abstractNumId w:val="35"/>
  </w:num>
  <w:num w:numId="30">
    <w:abstractNumId w:val="29"/>
  </w:num>
  <w:num w:numId="31">
    <w:abstractNumId w:val="18"/>
  </w:num>
  <w:num w:numId="32">
    <w:abstractNumId w:val="28"/>
  </w:num>
  <w:num w:numId="33">
    <w:abstractNumId w:val="19"/>
  </w:num>
  <w:num w:numId="34">
    <w:abstractNumId w:val="6"/>
  </w:num>
  <w:num w:numId="35">
    <w:abstractNumId w:val="24"/>
  </w:num>
  <w:num w:numId="36">
    <w:abstractNumId w:val="8"/>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80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837"/>
    <w:rsid w:val="0000375B"/>
    <w:rsid w:val="000168C3"/>
    <w:rsid w:val="00033D67"/>
    <w:rsid w:val="00054D6D"/>
    <w:rsid w:val="000610BD"/>
    <w:rsid w:val="00092FD9"/>
    <w:rsid w:val="000949FB"/>
    <w:rsid w:val="000A0E75"/>
    <w:rsid w:val="000B5E11"/>
    <w:rsid w:val="000B61F4"/>
    <w:rsid w:val="000C09D6"/>
    <w:rsid w:val="000C52EA"/>
    <w:rsid w:val="000D1148"/>
    <w:rsid w:val="000D729F"/>
    <w:rsid w:val="000E1261"/>
    <w:rsid w:val="000F73FE"/>
    <w:rsid w:val="00102ADA"/>
    <w:rsid w:val="0013293F"/>
    <w:rsid w:val="00133448"/>
    <w:rsid w:val="0015705F"/>
    <w:rsid w:val="00160404"/>
    <w:rsid w:val="00162F9F"/>
    <w:rsid w:val="001652A3"/>
    <w:rsid w:val="00171052"/>
    <w:rsid w:val="00171226"/>
    <w:rsid w:val="0018217A"/>
    <w:rsid w:val="001A01C1"/>
    <w:rsid w:val="001A2D06"/>
    <w:rsid w:val="001B0843"/>
    <w:rsid w:val="001B0C1D"/>
    <w:rsid w:val="001B43A2"/>
    <w:rsid w:val="001C42EC"/>
    <w:rsid w:val="001D46FA"/>
    <w:rsid w:val="001E2461"/>
    <w:rsid w:val="002060F4"/>
    <w:rsid w:val="0020672A"/>
    <w:rsid w:val="002142A2"/>
    <w:rsid w:val="00221A8F"/>
    <w:rsid w:val="00222816"/>
    <w:rsid w:val="00222B9E"/>
    <w:rsid w:val="00250D4D"/>
    <w:rsid w:val="00260B70"/>
    <w:rsid w:val="00260E4B"/>
    <w:rsid w:val="00272A7E"/>
    <w:rsid w:val="002758A5"/>
    <w:rsid w:val="00293774"/>
    <w:rsid w:val="00294520"/>
    <w:rsid w:val="00296B3A"/>
    <w:rsid w:val="002B4506"/>
    <w:rsid w:val="002B5396"/>
    <w:rsid w:val="002C21B7"/>
    <w:rsid w:val="002C2E5E"/>
    <w:rsid w:val="002D7AA2"/>
    <w:rsid w:val="002D7DFA"/>
    <w:rsid w:val="002E78FE"/>
    <w:rsid w:val="0030223F"/>
    <w:rsid w:val="00305F76"/>
    <w:rsid w:val="003154DF"/>
    <w:rsid w:val="0032639A"/>
    <w:rsid w:val="00326A0B"/>
    <w:rsid w:val="00337763"/>
    <w:rsid w:val="00345921"/>
    <w:rsid w:val="0036395A"/>
    <w:rsid w:val="003A3010"/>
    <w:rsid w:val="003D3F4F"/>
    <w:rsid w:val="003D6467"/>
    <w:rsid w:val="003F7223"/>
    <w:rsid w:val="0040062E"/>
    <w:rsid w:val="00407964"/>
    <w:rsid w:val="00413E12"/>
    <w:rsid w:val="00415319"/>
    <w:rsid w:val="0042260D"/>
    <w:rsid w:val="004265A0"/>
    <w:rsid w:val="00436201"/>
    <w:rsid w:val="00441D46"/>
    <w:rsid w:val="00446CC6"/>
    <w:rsid w:val="00451E1B"/>
    <w:rsid w:val="004736EA"/>
    <w:rsid w:val="00477ED5"/>
    <w:rsid w:val="0048749D"/>
    <w:rsid w:val="00491A06"/>
    <w:rsid w:val="004A465B"/>
    <w:rsid w:val="004B1B59"/>
    <w:rsid w:val="004D6443"/>
    <w:rsid w:val="00503AC5"/>
    <w:rsid w:val="005127E6"/>
    <w:rsid w:val="0051330C"/>
    <w:rsid w:val="00516A35"/>
    <w:rsid w:val="00517B5B"/>
    <w:rsid w:val="00522139"/>
    <w:rsid w:val="00523787"/>
    <w:rsid w:val="00525CC0"/>
    <w:rsid w:val="0053481A"/>
    <w:rsid w:val="005368F4"/>
    <w:rsid w:val="005623E6"/>
    <w:rsid w:val="0056311A"/>
    <w:rsid w:val="005763EC"/>
    <w:rsid w:val="0057713F"/>
    <w:rsid w:val="00582AAE"/>
    <w:rsid w:val="005B65C7"/>
    <w:rsid w:val="005B76CD"/>
    <w:rsid w:val="005C0CFA"/>
    <w:rsid w:val="005D47C8"/>
    <w:rsid w:val="005E0722"/>
    <w:rsid w:val="005E40ED"/>
    <w:rsid w:val="005F63FC"/>
    <w:rsid w:val="005F7F63"/>
    <w:rsid w:val="00607418"/>
    <w:rsid w:val="00610063"/>
    <w:rsid w:val="00612A34"/>
    <w:rsid w:val="00614A46"/>
    <w:rsid w:val="006300AE"/>
    <w:rsid w:val="00645837"/>
    <w:rsid w:val="00675D68"/>
    <w:rsid w:val="0069382B"/>
    <w:rsid w:val="00697F49"/>
    <w:rsid w:val="006A57D7"/>
    <w:rsid w:val="006B5AEA"/>
    <w:rsid w:val="006C213E"/>
    <w:rsid w:val="006D2EC8"/>
    <w:rsid w:val="006E2CBB"/>
    <w:rsid w:val="006F0876"/>
    <w:rsid w:val="006F4E16"/>
    <w:rsid w:val="007348F9"/>
    <w:rsid w:val="00740F84"/>
    <w:rsid w:val="00780150"/>
    <w:rsid w:val="0078131C"/>
    <w:rsid w:val="007923FE"/>
    <w:rsid w:val="00796134"/>
    <w:rsid w:val="007A5A81"/>
    <w:rsid w:val="007C5A60"/>
    <w:rsid w:val="007D09D8"/>
    <w:rsid w:val="007F50D8"/>
    <w:rsid w:val="0081327B"/>
    <w:rsid w:val="0082419F"/>
    <w:rsid w:val="008378D0"/>
    <w:rsid w:val="0085191C"/>
    <w:rsid w:val="00857E33"/>
    <w:rsid w:val="00874F81"/>
    <w:rsid w:val="00891042"/>
    <w:rsid w:val="008A3B46"/>
    <w:rsid w:val="008B1D3B"/>
    <w:rsid w:val="008B3000"/>
    <w:rsid w:val="008B3B4D"/>
    <w:rsid w:val="008D25BF"/>
    <w:rsid w:val="008D416C"/>
    <w:rsid w:val="008D5317"/>
    <w:rsid w:val="008E208E"/>
    <w:rsid w:val="00914F49"/>
    <w:rsid w:val="00920790"/>
    <w:rsid w:val="00920D64"/>
    <w:rsid w:val="00927666"/>
    <w:rsid w:val="00936736"/>
    <w:rsid w:val="00953FB7"/>
    <w:rsid w:val="00963356"/>
    <w:rsid w:val="00963F85"/>
    <w:rsid w:val="00966732"/>
    <w:rsid w:val="009831C5"/>
    <w:rsid w:val="009940C8"/>
    <w:rsid w:val="009B0A65"/>
    <w:rsid w:val="009C15FE"/>
    <w:rsid w:val="009D1CF4"/>
    <w:rsid w:val="009D32E7"/>
    <w:rsid w:val="009D45F4"/>
    <w:rsid w:val="009D5B89"/>
    <w:rsid w:val="009E1398"/>
    <w:rsid w:val="009E74FD"/>
    <w:rsid w:val="00A00AE7"/>
    <w:rsid w:val="00A02623"/>
    <w:rsid w:val="00A22449"/>
    <w:rsid w:val="00A24D4E"/>
    <w:rsid w:val="00A3594A"/>
    <w:rsid w:val="00A5602A"/>
    <w:rsid w:val="00A710AE"/>
    <w:rsid w:val="00A72CA8"/>
    <w:rsid w:val="00A73E75"/>
    <w:rsid w:val="00A97A48"/>
    <w:rsid w:val="00AA2A3C"/>
    <w:rsid w:val="00AB102E"/>
    <w:rsid w:val="00AB7159"/>
    <w:rsid w:val="00AD1811"/>
    <w:rsid w:val="00AE29EA"/>
    <w:rsid w:val="00AE4288"/>
    <w:rsid w:val="00AF2DE6"/>
    <w:rsid w:val="00AF3FC2"/>
    <w:rsid w:val="00B30E04"/>
    <w:rsid w:val="00B5314C"/>
    <w:rsid w:val="00B55ABF"/>
    <w:rsid w:val="00B563E0"/>
    <w:rsid w:val="00B57E04"/>
    <w:rsid w:val="00B65584"/>
    <w:rsid w:val="00B75DA4"/>
    <w:rsid w:val="00B80ED1"/>
    <w:rsid w:val="00B83C32"/>
    <w:rsid w:val="00B91E20"/>
    <w:rsid w:val="00B9567F"/>
    <w:rsid w:val="00BC16C5"/>
    <w:rsid w:val="00BC28DB"/>
    <w:rsid w:val="00BD1406"/>
    <w:rsid w:val="00BE794C"/>
    <w:rsid w:val="00BF7FF3"/>
    <w:rsid w:val="00C003C1"/>
    <w:rsid w:val="00C07C21"/>
    <w:rsid w:val="00C159C9"/>
    <w:rsid w:val="00C17FC7"/>
    <w:rsid w:val="00C21FCE"/>
    <w:rsid w:val="00C417B6"/>
    <w:rsid w:val="00C5215A"/>
    <w:rsid w:val="00C72071"/>
    <w:rsid w:val="00C72E72"/>
    <w:rsid w:val="00C75243"/>
    <w:rsid w:val="00C829B9"/>
    <w:rsid w:val="00C85231"/>
    <w:rsid w:val="00CD06BD"/>
    <w:rsid w:val="00CD0F0F"/>
    <w:rsid w:val="00CD6162"/>
    <w:rsid w:val="00CE1BF7"/>
    <w:rsid w:val="00CF4634"/>
    <w:rsid w:val="00D02747"/>
    <w:rsid w:val="00D146E7"/>
    <w:rsid w:val="00D222E4"/>
    <w:rsid w:val="00D4041D"/>
    <w:rsid w:val="00D404BC"/>
    <w:rsid w:val="00D431E9"/>
    <w:rsid w:val="00D444AB"/>
    <w:rsid w:val="00D52B5E"/>
    <w:rsid w:val="00D5700F"/>
    <w:rsid w:val="00D6438A"/>
    <w:rsid w:val="00D77A02"/>
    <w:rsid w:val="00D80CBD"/>
    <w:rsid w:val="00D87E66"/>
    <w:rsid w:val="00D92923"/>
    <w:rsid w:val="00DA5377"/>
    <w:rsid w:val="00DB5B3A"/>
    <w:rsid w:val="00DD4B58"/>
    <w:rsid w:val="00DE01B9"/>
    <w:rsid w:val="00DE039C"/>
    <w:rsid w:val="00DE09B2"/>
    <w:rsid w:val="00DF56C4"/>
    <w:rsid w:val="00E05B2C"/>
    <w:rsid w:val="00E55C16"/>
    <w:rsid w:val="00E66A1D"/>
    <w:rsid w:val="00E8331E"/>
    <w:rsid w:val="00E84E5D"/>
    <w:rsid w:val="00E86376"/>
    <w:rsid w:val="00E93AEE"/>
    <w:rsid w:val="00EA02AF"/>
    <w:rsid w:val="00EB3C6A"/>
    <w:rsid w:val="00EC24C6"/>
    <w:rsid w:val="00ED29A0"/>
    <w:rsid w:val="00EE6721"/>
    <w:rsid w:val="00EF2EA3"/>
    <w:rsid w:val="00EF47DE"/>
    <w:rsid w:val="00EF7361"/>
    <w:rsid w:val="00F02FC1"/>
    <w:rsid w:val="00F2232A"/>
    <w:rsid w:val="00F23B01"/>
    <w:rsid w:val="00F42988"/>
    <w:rsid w:val="00F503F6"/>
    <w:rsid w:val="00F5384C"/>
    <w:rsid w:val="00F651AB"/>
    <w:rsid w:val="00F83F5B"/>
    <w:rsid w:val="00F93FB9"/>
    <w:rsid w:val="00F95013"/>
    <w:rsid w:val="00FB17BC"/>
    <w:rsid w:val="00FB52BB"/>
    <w:rsid w:val="00FC3F39"/>
    <w:rsid w:val="00FC6A6E"/>
    <w:rsid w:val="00FE133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A4ECF"/>
  <w15:docId w15:val="{C4F1BB11-FE1B-4F66-8853-E2AA423A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kern w:val="2"/>
        <w:sz w:val="22"/>
        <w:szCs w:val="24"/>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3E12"/>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4506"/>
    <w:pPr>
      <w:tabs>
        <w:tab w:val="center" w:pos="4513"/>
        <w:tab w:val="right" w:pos="9026"/>
      </w:tabs>
      <w:snapToGrid w:val="0"/>
    </w:pPr>
  </w:style>
  <w:style w:type="character" w:customStyle="1" w:styleId="Char">
    <w:name w:val="머리글 Char"/>
    <w:basedOn w:val="a0"/>
    <w:link w:val="a3"/>
    <w:uiPriority w:val="99"/>
    <w:qFormat/>
    <w:rsid w:val="002B4506"/>
  </w:style>
  <w:style w:type="paragraph" w:styleId="a4">
    <w:name w:val="footer"/>
    <w:basedOn w:val="a"/>
    <w:link w:val="Char0"/>
    <w:uiPriority w:val="99"/>
    <w:unhideWhenUsed/>
    <w:rsid w:val="002B4506"/>
    <w:pPr>
      <w:tabs>
        <w:tab w:val="center" w:pos="4513"/>
        <w:tab w:val="right" w:pos="9026"/>
      </w:tabs>
      <w:snapToGrid w:val="0"/>
    </w:pPr>
  </w:style>
  <w:style w:type="character" w:customStyle="1" w:styleId="Char0">
    <w:name w:val="바닥글 Char"/>
    <w:basedOn w:val="a0"/>
    <w:link w:val="a4"/>
    <w:uiPriority w:val="99"/>
    <w:rsid w:val="002B4506"/>
  </w:style>
  <w:style w:type="paragraph" w:styleId="a5">
    <w:name w:val="List Paragraph"/>
    <w:basedOn w:val="a"/>
    <w:uiPriority w:val="34"/>
    <w:qFormat/>
    <w:rsid w:val="001B43A2"/>
    <w:pPr>
      <w:ind w:leftChars="400" w:left="800"/>
    </w:pPr>
  </w:style>
  <w:style w:type="paragraph" w:customStyle="1" w:styleId="Default">
    <w:name w:val="Default"/>
    <w:qFormat/>
    <w:rsid w:val="000B61F4"/>
    <w:pPr>
      <w:spacing w:after="0" w:line="240" w:lineRule="auto"/>
      <w:jc w:val="left"/>
    </w:pPr>
    <w:rPr>
      <w:rFonts w:ascii="Calibri" w:eastAsia="Calibri" w:hAnsi="Calibri" w:cs="Calibri"/>
      <w:color w:val="000000"/>
      <w:kern w:val="0"/>
      <w:sz w:val="24"/>
      <w:u w:color="000000"/>
      <w:lang w:val="de-DE"/>
    </w:rPr>
  </w:style>
  <w:style w:type="paragraph" w:styleId="a6">
    <w:name w:val="footnote text"/>
    <w:basedOn w:val="a"/>
    <w:link w:val="Char1"/>
    <w:uiPriority w:val="99"/>
    <w:semiHidden/>
    <w:unhideWhenUsed/>
    <w:rsid w:val="000B61F4"/>
    <w:pPr>
      <w:widowControl/>
      <w:wordWrap/>
      <w:autoSpaceDE/>
      <w:autoSpaceDN/>
      <w:spacing w:after="0" w:line="240" w:lineRule="auto"/>
      <w:jc w:val="left"/>
    </w:pPr>
    <w:rPr>
      <w:rFonts w:ascii="Arial" w:eastAsia="Arial" w:hAnsi="Arial" w:cs="Arial"/>
      <w:color w:val="000000"/>
      <w:kern w:val="0"/>
      <w:sz w:val="20"/>
      <w:szCs w:val="20"/>
      <w:u w:color="000000"/>
      <w:lang w:val="de-DE"/>
    </w:rPr>
  </w:style>
  <w:style w:type="character" w:customStyle="1" w:styleId="Char1">
    <w:name w:val="각주 텍스트 Char"/>
    <w:basedOn w:val="a0"/>
    <w:link w:val="a6"/>
    <w:uiPriority w:val="99"/>
    <w:semiHidden/>
    <w:qFormat/>
    <w:rsid w:val="000B61F4"/>
    <w:rPr>
      <w:rFonts w:ascii="Arial" w:eastAsia="Arial" w:hAnsi="Arial" w:cs="Arial"/>
      <w:color w:val="000000"/>
      <w:kern w:val="0"/>
      <w:sz w:val="20"/>
      <w:szCs w:val="20"/>
      <w:u w:color="000000"/>
      <w:lang w:val="de-DE"/>
    </w:rPr>
  </w:style>
  <w:style w:type="character" w:styleId="a7">
    <w:name w:val="footnote reference"/>
    <w:basedOn w:val="a0"/>
    <w:uiPriority w:val="99"/>
    <w:semiHidden/>
    <w:unhideWhenUsed/>
    <w:rsid w:val="000B61F4"/>
    <w:rPr>
      <w:vertAlign w:val="superscript"/>
    </w:rPr>
  </w:style>
  <w:style w:type="paragraph" w:styleId="a8">
    <w:name w:val="annotation text"/>
    <w:link w:val="Char2"/>
    <w:uiPriority w:val="99"/>
    <w:unhideWhenUsed/>
    <w:rsid w:val="00F503F6"/>
    <w:pPr>
      <w:spacing w:after="0" w:line="240" w:lineRule="auto"/>
      <w:jc w:val="left"/>
    </w:pPr>
    <w:rPr>
      <w:rFonts w:ascii="Arial" w:eastAsia="Arial Unicode MS" w:hAnsi="Arial" w:cs="Arial Unicode MS"/>
      <w:color w:val="000000"/>
      <w:kern w:val="0"/>
      <w:sz w:val="20"/>
      <w:szCs w:val="20"/>
      <w:u w:color="000000"/>
      <w:lang w:val="de-DE"/>
    </w:rPr>
  </w:style>
  <w:style w:type="character" w:customStyle="1" w:styleId="Char2">
    <w:name w:val="메모 텍스트 Char"/>
    <w:basedOn w:val="a0"/>
    <w:link w:val="a8"/>
    <w:uiPriority w:val="99"/>
    <w:rsid w:val="00F503F6"/>
    <w:rPr>
      <w:rFonts w:ascii="Arial" w:eastAsia="Arial Unicode MS" w:hAnsi="Arial" w:cs="Arial Unicode MS"/>
      <w:color w:val="000000"/>
      <w:kern w:val="0"/>
      <w:sz w:val="20"/>
      <w:szCs w:val="20"/>
      <w:u w:color="000000"/>
      <w:lang w:val="de-DE"/>
    </w:rPr>
  </w:style>
  <w:style w:type="character" w:styleId="a9">
    <w:name w:val="annotation reference"/>
    <w:basedOn w:val="a0"/>
    <w:uiPriority w:val="99"/>
    <w:semiHidden/>
    <w:unhideWhenUsed/>
    <w:rsid w:val="00F503F6"/>
    <w:rPr>
      <w:sz w:val="16"/>
      <w:szCs w:val="16"/>
    </w:rPr>
  </w:style>
  <w:style w:type="paragraph" w:customStyle="1" w:styleId="aa">
    <w:name w:val="바탕글"/>
    <w:basedOn w:val="a"/>
    <w:rsid w:val="00582AAE"/>
    <w:pPr>
      <w:spacing w:after="0" w:line="384" w:lineRule="auto"/>
      <w:textAlignment w:val="baseline"/>
    </w:pPr>
    <w:rPr>
      <w:rFonts w:ascii="휴먼명조" w:eastAsia="굴림" w:hAnsi="굴림" w:cs="굴림"/>
      <w:color w:val="000000"/>
      <w:kern w:val="0"/>
      <w:sz w:val="28"/>
      <w:szCs w:val="28"/>
    </w:rPr>
  </w:style>
  <w:style w:type="paragraph" w:customStyle="1" w:styleId="xl66">
    <w:name w:val="xl66"/>
    <w:basedOn w:val="a"/>
    <w:rsid w:val="00C85231"/>
    <w:pPr>
      <w:wordWrap/>
      <w:spacing w:after="0" w:line="240" w:lineRule="auto"/>
      <w:jc w:val="center"/>
      <w:textAlignment w:val="center"/>
    </w:pPr>
    <w:rPr>
      <w:rFonts w:ascii="맑은 고딕" w:eastAsia="굴림" w:hAnsi="굴림" w:cs="굴림"/>
      <w:color w:val="000000"/>
      <w:kern w:val="0"/>
      <w:szCs w:val="22"/>
    </w:rPr>
  </w:style>
  <w:style w:type="paragraph" w:customStyle="1" w:styleId="xl65">
    <w:name w:val="xl65"/>
    <w:basedOn w:val="a"/>
    <w:rsid w:val="00C85231"/>
    <w:pPr>
      <w:wordWrap/>
      <w:spacing w:after="0" w:line="240" w:lineRule="auto"/>
      <w:jc w:val="center"/>
      <w:textAlignment w:val="center"/>
    </w:pPr>
    <w:rPr>
      <w:rFonts w:ascii="맑은 고딕" w:eastAsia="굴림" w:hAnsi="굴림" w:cs="굴림"/>
      <w:color w:val="000000"/>
      <w:kern w:val="0"/>
      <w:szCs w:val="22"/>
    </w:rPr>
  </w:style>
  <w:style w:type="character" w:styleId="ab">
    <w:name w:val="Hyperlink"/>
    <w:basedOn w:val="a0"/>
    <w:uiPriority w:val="99"/>
    <w:unhideWhenUsed/>
    <w:rsid w:val="00ED29A0"/>
    <w:rPr>
      <w:color w:val="0000FF"/>
      <w:u w:val="single"/>
    </w:rPr>
  </w:style>
  <w:style w:type="table" w:styleId="ac">
    <w:name w:val="Table Grid"/>
    <w:basedOn w:val="a1"/>
    <w:uiPriority w:val="39"/>
    <w:rsid w:val="00B55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semiHidden/>
    <w:unhideWhenUsed/>
    <w:rsid w:val="00B80ED1"/>
  </w:style>
  <w:style w:type="paragraph" w:styleId="ae">
    <w:name w:val="annotation subject"/>
    <w:basedOn w:val="a8"/>
    <w:next w:val="a8"/>
    <w:link w:val="Char3"/>
    <w:uiPriority w:val="99"/>
    <w:semiHidden/>
    <w:unhideWhenUsed/>
    <w:rsid w:val="00B80ED1"/>
    <w:pPr>
      <w:widowControl w:val="0"/>
      <w:wordWrap w:val="0"/>
      <w:autoSpaceDE w:val="0"/>
      <w:autoSpaceDN w:val="0"/>
      <w:spacing w:after="160" w:line="259" w:lineRule="auto"/>
    </w:pPr>
    <w:rPr>
      <w:rFonts w:ascii="Times New Roman" w:eastAsiaTheme="minorEastAsia" w:hAnsi="Times New Roman" w:cs="Times New Roman"/>
      <w:b/>
      <w:bCs/>
      <w:color w:val="auto"/>
      <w:kern w:val="2"/>
      <w:sz w:val="22"/>
      <w:szCs w:val="24"/>
      <w:lang w:val="en-US"/>
    </w:rPr>
  </w:style>
  <w:style w:type="character" w:customStyle="1" w:styleId="Char3">
    <w:name w:val="메모 주제 Char"/>
    <w:basedOn w:val="Char2"/>
    <w:link w:val="ae"/>
    <w:uiPriority w:val="99"/>
    <w:semiHidden/>
    <w:rsid w:val="00B80ED1"/>
    <w:rPr>
      <w:rFonts w:ascii="Arial" w:eastAsia="Arial Unicode MS" w:hAnsi="Arial" w:cs="Arial Unicode MS"/>
      <w:b/>
      <w:bCs/>
      <w:color w:val="000000"/>
      <w:kern w:val="0"/>
      <w:sz w:val="20"/>
      <w:szCs w:val="20"/>
      <w:u w:color="000000"/>
      <w:lang w:val="de-DE"/>
    </w:rPr>
  </w:style>
  <w:style w:type="paragraph" w:styleId="af">
    <w:name w:val="Revision"/>
    <w:hidden/>
    <w:uiPriority w:val="99"/>
    <w:semiHidden/>
    <w:rsid w:val="008A3B46"/>
    <w:pPr>
      <w:spacing w:after="0" w:line="240" w:lineRule="auto"/>
      <w:jc w:val="left"/>
    </w:pPr>
  </w:style>
  <w:style w:type="paragraph" w:styleId="af0">
    <w:name w:val="Balloon Text"/>
    <w:basedOn w:val="a"/>
    <w:link w:val="Char4"/>
    <w:uiPriority w:val="99"/>
    <w:semiHidden/>
    <w:unhideWhenUsed/>
    <w:rsid w:val="008A3B46"/>
    <w:pPr>
      <w:spacing w:after="0" w:line="240" w:lineRule="auto"/>
    </w:pPr>
    <w:rPr>
      <w:rFonts w:asciiTheme="majorHAnsi" w:eastAsiaTheme="majorEastAsia" w:hAnsiTheme="majorHAnsi" w:cstheme="majorBidi"/>
      <w:sz w:val="18"/>
      <w:szCs w:val="18"/>
    </w:rPr>
  </w:style>
  <w:style w:type="character" w:customStyle="1" w:styleId="Char4">
    <w:name w:val="풍선 도움말 텍스트 Char"/>
    <w:basedOn w:val="a0"/>
    <w:link w:val="af0"/>
    <w:uiPriority w:val="99"/>
    <w:semiHidden/>
    <w:rsid w:val="008A3B46"/>
    <w:rPr>
      <w:rFonts w:asciiTheme="majorHAnsi" w:eastAsiaTheme="majorEastAsia" w:hAnsiTheme="majorHAnsi" w:cstheme="majorBidi"/>
      <w:sz w:val="18"/>
      <w:szCs w:val="18"/>
    </w:rPr>
  </w:style>
  <w:style w:type="paragraph" w:styleId="af1">
    <w:name w:val="caption"/>
    <w:basedOn w:val="a"/>
    <w:next w:val="a"/>
    <w:uiPriority w:val="35"/>
    <w:unhideWhenUsed/>
    <w:qFormat/>
    <w:rsid w:val="006F4E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33502">
      <w:bodyDiv w:val="1"/>
      <w:marLeft w:val="0"/>
      <w:marRight w:val="0"/>
      <w:marTop w:val="0"/>
      <w:marBottom w:val="0"/>
      <w:divBdr>
        <w:top w:val="none" w:sz="0" w:space="0" w:color="auto"/>
        <w:left w:val="none" w:sz="0" w:space="0" w:color="auto"/>
        <w:bottom w:val="none" w:sz="0" w:space="0" w:color="auto"/>
        <w:right w:val="none" w:sz="0" w:space="0" w:color="auto"/>
      </w:divBdr>
    </w:div>
    <w:div w:id="716661380">
      <w:bodyDiv w:val="1"/>
      <w:marLeft w:val="0"/>
      <w:marRight w:val="0"/>
      <w:marTop w:val="0"/>
      <w:marBottom w:val="0"/>
      <w:divBdr>
        <w:top w:val="none" w:sz="0" w:space="0" w:color="auto"/>
        <w:left w:val="none" w:sz="0" w:space="0" w:color="auto"/>
        <w:bottom w:val="none" w:sz="0" w:space="0" w:color="auto"/>
        <w:right w:val="none" w:sz="0" w:space="0" w:color="auto"/>
      </w:divBdr>
      <w:divsChild>
        <w:div w:id="1358655490">
          <w:marLeft w:val="0"/>
          <w:marRight w:val="0"/>
          <w:marTop w:val="0"/>
          <w:marBottom w:val="0"/>
          <w:divBdr>
            <w:top w:val="single" w:sz="2" w:space="0" w:color="D0D0D0"/>
            <w:left w:val="single" w:sz="2" w:space="0" w:color="D0D0D0"/>
            <w:bottom w:val="single" w:sz="2" w:space="0" w:color="D0D0D0"/>
            <w:right w:val="single" w:sz="2" w:space="0" w:color="D0D0D0"/>
          </w:divBdr>
          <w:divsChild>
            <w:div w:id="894972156">
              <w:marLeft w:val="0"/>
              <w:marRight w:val="0"/>
              <w:marTop w:val="0"/>
              <w:marBottom w:val="0"/>
              <w:divBdr>
                <w:top w:val="none" w:sz="0" w:space="0" w:color="auto"/>
                <w:left w:val="none" w:sz="0" w:space="0" w:color="auto"/>
                <w:bottom w:val="none" w:sz="0" w:space="0" w:color="auto"/>
                <w:right w:val="none" w:sz="0" w:space="0" w:color="auto"/>
              </w:divBdr>
              <w:divsChild>
                <w:div w:id="1797916237">
                  <w:marLeft w:val="0"/>
                  <w:marRight w:val="0"/>
                  <w:marTop w:val="0"/>
                  <w:marBottom w:val="0"/>
                  <w:divBdr>
                    <w:top w:val="single" w:sz="2" w:space="0" w:color="D0D0D0"/>
                    <w:left w:val="single" w:sz="2" w:space="0" w:color="D0D0D0"/>
                    <w:bottom w:val="single" w:sz="2" w:space="0" w:color="D0D0D0"/>
                    <w:right w:val="single" w:sz="2" w:space="0" w:color="D0D0D0"/>
                  </w:divBdr>
                  <w:divsChild>
                    <w:div w:id="1774283007">
                      <w:marLeft w:val="0"/>
                      <w:marRight w:val="0"/>
                      <w:marTop w:val="0"/>
                      <w:marBottom w:val="0"/>
                      <w:divBdr>
                        <w:top w:val="none" w:sz="0" w:space="0" w:color="auto"/>
                        <w:left w:val="none" w:sz="0" w:space="0" w:color="auto"/>
                        <w:bottom w:val="single" w:sz="2" w:space="0" w:color="000000"/>
                        <w:right w:val="none" w:sz="0" w:space="0" w:color="auto"/>
                      </w:divBdr>
                      <w:divsChild>
                        <w:div w:id="2126657809">
                          <w:marLeft w:val="0"/>
                          <w:marRight w:val="0"/>
                          <w:marTop w:val="0"/>
                          <w:marBottom w:val="0"/>
                          <w:divBdr>
                            <w:top w:val="none" w:sz="0" w:space="0" w:color="auto"/>
                            <w:left w:val="none" w:sz="0" w:space="0" w:color="auto"/>
                            <w:bottom w:val="none" w:sz="0" w:space="0" w:color="auto"/>
                            <w:right w:val="none" w:sz="0" w:space="0" w:color="auto"/>
                          </w:divBdr>
                          <w:divsChild>
                            <w:div w:id="147750627">
                              <w:marLeft w:val="0"/>
                              <w:marRight w:val="0"/>
                              <w:marTop w:val="0"/>
                              <w:marBottom w:val="0"/>
                              <w:divBdr>
                                <w:top w:val="none" w:sz="0" w:space="0" w:color="auto"/>
                                <w:left w:val="none" w:sz="0" w:space="0" w:color="auto"/>
                                <w:bottom w:val="none" w:sz="0" w:space="0" w:color="auto"/>
                                <w:right w:val="none" w:sz="0" w:space="0" w:color="auto"/>
                              </w:divBdr>
                              <w:divsChild>
                                <w:div w:id="2124417659">
                                  <w:marLeft w:val="0"/>
                                  <w:marRight w:val="0"/>
                                  <w:marTop w:val="0"/>
                                  <w:marBottom w:val="0"/>
                                  <w:divBdr>
                                    <w:top w:val="none" w:sz="0" w:space="0" w:color="auto"/>
                                    <w:left w:val="none" w:sz="0" w:space="0" w:color="auto"/>
                                    <w:bottom w:val="none" w:sz="0" w:space="0" w:color="auto"/>
                                    <w:right w:val="none" w:sz="0" w:space="0" w:color="auto"/>
                                  </w:divBdr>
                                  <w:divsChild>
                                    <w:div w:id="39675424">
                                      <w:marLeft w:val="0"/>
                                      <w:marRight w:val="0"/>
                                      <w:marTop w:val="0"/>
                                      <w:marBottom w:val="0"/>
                                      <w:divBdr>
                                        <w:top w:val="none" w:sz="0" w:space="0" w:color="auto"/>
                                        <w:left w:val="none" w:sz="0" w:space="0" w:color="auto"/>
                                        <w:bottom w:val="none" w:sz="0" w:space="0" w:color="auto"/>
                                        <w:right w:val="none" w:sz="0" w:space="0" w:color="auto"/>
                                      </w:divBdr>
                                      <w:divsChild>
                                        <w:div w:id="1783723326">
                                          <w:marLeft w:val="0"/>
                                          <w:marRight w:val="240"/>
                                          <w:marTop w:val="0"/>
                                          <w:marBottom w:val="0"/>
                                          <w:divBdr>
                                            <w:top w:val="none" w:sz="0" w:space="0" w:color="auto"/>
                                            <w:left w:val="none" w:sz="0" w:space="0" w:color="auto"/>
                                            <w:bottom w:val="none" w:sz="0" w:space="0" w:color="auto"/>
                                            <w:right w:val="none" w:sz="0" w:space="0" w:color="auto"/>
                                          </w:divBdr>
                                          <w:divsChild>
                                            <w:div w:id="1155489838">
                                              <w:marLeft w:val="0"/>
                                              <w:marRight w:val="0"/>
                                              <w:marTop w:val="0"/>
                                              <w:marBottom w:val="0"/>
                                              <w:divBdr>
                                                <w:top w:val="none" w:sz="0" w:space="0" w:color="auto"/>
                                                <w:left w:val="none" w:sz="0" w:space="0" w:color="auto"/>
                                                <w:bottom w:val="none" w:sz="0" w:space="0" w:color="auto"/>
                                                <w:right w:val="none" w:sz="0" w:space="0" w:color="auto"/>
                                              </w:divBdr>
                                              <w:divsChild>
                                                <w:div w:id="1000889896">
                                                  <w:marLeft w:val="0"/>
                                                  <w:marRight w:val="0"/>
                                                  <w:marTop w:val="0"/>
                                                  <w:marBottom w:val="0"/>
                                                  <w:divBdr>
                                                    <w:top w:val="none" w:sz="0" w:space="0" w:color="auto"/>
                                                    <w:left w:val="none" w:sz="0" w:space="0" w:color="auto"/>
                                                    <w:bottom w:val="none" w:sz="0" w:space="0" w:color="auto"/>
                                                    <w:right w:val="none" w:sz="0" w:space="0" w:color="auto"/>
                                                  </w:divBdr>
                                                  <w:divsChild>
                                                    <w:div w:id="3124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181186">
                      <w:marLeft w:val="0"/>
                      <w:marRight w:val="240"/>
                      <w:marTop w:val="0"/>
                      <w:marBottom w:val="0"/>
                      <w:divBdr>
                        <w:top w:val="none" w:sz="0" w:space="0" w:color="auto"/>
                        <w:left w:val="none" w:sz="0" w:space="0" w:color="auto"/>
                        <w:bottom w:val="none" w:sz="0" w:space="0" w:color="auto"/>
                        <w:right w:val="none" w:sz="0" w:space="0" w:color="auto"/>
                      </w:divBdr>
                      <w:divsChild>
                        <w:div w:id="4336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749703">
      <w:bodyDiv w:val="1"/>
      <w:marLeft w:val="0"/>
      <w:marRight w:val="0"/>
      <w:marTop w:val="0"/>
      <w:marBottom w:val="0"/>
      <w:divBdr>
        <w:top w:val="none" w:sz="0" w:space="0" w:color="auto"/>
        <w:left w:val="none" w:sz="0" w:space="0" w:color="auto"/>
        <w:bottom w:val="none" w:sz="0" w:space="0" w:color="auto"/>
        <w:right w:val="none" w:sz="0" w:space="0" w:color="auto"/>
      </w:divBdr>
    </w:div>
    <w:div w:id="1152991679">
      <w:bodyDiv w:val="1"/>
      <w:marLeft w:val="0"/>
      <w:marRight w:val="0"/>
      <w:marTop w:val="0"/>
      <w:marBottom w:val="0"/>
      <w:divBdr>
        <w:top w:val="none" w:sz="0" w:space="0" w:color="auto"/>
        <w:left w:val="none" w:sz="0" w:space="0" w:color="auto"/>
        <w:bottom w:val="none" w:sz="0" w:space="0" w:color="auto"/>
        <w:right w:val="none" w:sz="0" w:space="0" w:color="auto"/>
      </w:divBdr>
    </w:div>
    <w:div w:id="1247152726">
      <w:bodyDiv w:val="1"/>
      <w:marLeft w:val="0"/>
      <w:marRight w:val="0"/>
      <w:marTop w:val="0"/>
      <w:marBottom w:val="0"/>
      <w:divBdr>
        <w:top w:val="none" w:sz="0" w:space="0" w:color="auto"/>
        <w:left w:val="none" w:sz="0" w:space="0" w:color="auto"/>
        <w:bottom w:val="none" w:sz="0" w:space="0" w:color="auto"/>
        <w:right w:val="none" w:sz="0" w:space="0" w:color="auto"/>
      </w:divBdr>
    </w:div>
    <w:div w:id="1420785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ntTable" Target="fontTable.xml"/><Relationship Id="rId23"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unfccc.int/sites/default/files/resource/Informal_Report_Art.6.2%20workshop_Infrastructure.pdf" TargetMode="External"/><Relationship Id="rId2" Type="http://schemas.openxmlformats.org/officeDocument/2006/relationships/hyperlink" Target="https://unfccc.int/sites/default/files/resource/Informal_Report_Art.6.2%20workshop_Reporting.pdf" TargetMode="External"/><Relationship Id="rId1" Type="http://schemas.openxmlformats.org/officeDocument/2006/relationships/hyperlink" Target="https://unfccc.int/documents/510309"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ubmissionFile" ma:contentTypeID="0x01010060B37736DA6C3A4EA53353A2B9AE5F5400350996634F87D6408857E55B65F74000" ma:contentTypeVersion="18" ma:contentTypeDescription="My Content Type" ma:contentTypeScope="" ma:versionID="70c6de1913ea3b9146405757d7610d39">
  <xsd:schema xmlns:xsd="http://www.w3.org/2001/XMLSchema" xmlns:xs="http://www.w3.org/2001/XMLSchema" xmlns:p="http://schemas.microsoft.com/office/2006/metadata/properties" xmlns:ns2="cd1c2313-39f8-4f5d-8e14-5f0ea1c36a8a" xmlns:ns3="6920f5ab-9618-4f6e-a652-41e6f8b811ff" targetNamespace="http://schemas.microsoft.com/office/2006/metadata/properties" ma:root="true" ma:fieldsID="1738657c165564d83eb395ebe783cb8f" ns2:_="" ns3:_="">
    <xsd:import namespace="cd1c2313-39f8-4f5d-8e14-5f0ea1c36a8a"/>
    <xsd:import namespace="6920f5ab-9618-4f6e-a652-41e6f8b811ff"/>
    <xsd:element name="properties">
      <xsd:complexType>
        <xsd:sequence>
          <xsd:element name="documentManagement">
            <xsd:complexType>
              <xsd:all>
                <xsd:element ref="ns2:UNF3CSPInvitationToSubmit" minOccurs="0"/>
                <xsd:element ref="ns2:UNF3CSPEntity" minOccurs="0"/>
                <xsd:element ref="ns2:UNF3CSPLanguage" minOccurs="0"/>
                <xsd:element ref="ns2:UNF3CSPDescription" minOccurs="0"/>
                <xsd:element ref="ns3:UNF3CSPBody" minOccurs="0"/>
                <xsd:element ref="ns3:Year" minOccurs="0"/>
                <xsd:element ref="ns3:Session" minOccurs="0"/>
                <xsd:element ref="ns3:Issue" minOccurs="0"/>
                <xsd:element ref="ns3:Mandate" minOccurs="0"/>
                <xsd:element ref="ns3:Date_x0020_Of_x0020_Call" minOccurs="0"/>
                <xsd:element ref="ns3:Theme" minOccurs="0"/>
                <xsd:element ref="ns3:UNF3CSPEntityType" minOccurs="0"/>
                <xsd:element ref="ns3:UNF3CSPSubmissionDate" minOccurs="0"/>
                <xsd:element ref="ns3:SourceItemID" minOccurs="0"/>
                <xsd:element ref="ns3:UNF3CSPThematicAre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c2313-39f8-4f5d-8e14-5f0ea1c36a8a" elementFormDefault="qualified">
    <xsd:import namespace="http://schemas.microsoft.com/office/2006/documentManagement/types"/>
    <xsd:import namespace="http://schemas.microsoft.com/office/infopath/2007/PartnerControls"/>
    <xsd:element name="UNF3CSPInvitationToSubmit" ma:index="2" nillable="true" ma:displayName="Invitation To Submit" ma:internalName="UNF3CSPInvitationToSubmit" ma:readOnly="false">
      <xsd:simpleType>
        <xsd:restriction base="dms:Text"/>
      </xsd:simpleType>
    </xsd:element>
    <xsd:element name="UNF3CSPEntity" ma:index="3" nillable="true" ma:displayName="Entity" ma:internalName="UNF3CSPEntity" ma:readOnly="false">
      <xsd:simpleType>
        <xsd:restriction base="dms:Text"/>
      </xsd:simpleType>
    </xsd:element>
    <xsd:element name="UNF3CSPLanguage" ma:index="4" nillable="true" ma:displayName="Language" ma:internalName="UNF3CSPLanguage" ma:readOnly="false">
      <xsd:simpleType>
        <xsd:restriction base="dms:Text"/>
      </xsd:simpleType>
    </xsd:element>
    <xsd:element name="UNF3CSPDescription" ma:index="5" nillable="true" ma:displayName="Description" ma:internalName="UNF3CSP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20f5ab-9618-4f6e-a652-41e6f8b811ff" elementFormDefault="qualified">
    <xsd:import namespace="http://schemas.microsoft.com/office/2006/documentManagement/types"/>
    <xsd:import namespace="http://schemas.microsoft.com/office/infopath/2007/PartnerControls"/>
    <xsd:element name="UNF3CSPBody" ma:index="6" nillable="true" ma:displayName="Body" ma:internalName="Body" ma:readOnly="false">
      <xsd:simpleType>
        <xsd:restriction base="dms:Text">
          <xsd:maxLength value="255"/>
        </xsd:restriction>
      </xsd:simpleType>
    </xsd:element>
    <xsd:element name="Year" ma:index="7" nillable="true" ma:displayName="Year" ma:internalName="Year" ma:readOnly="false">
      <xsd:simpleType>
        <xsd:restriction base="dms:Text"/>
      </xsd:simpleType>
    </xsd:element>
    <xsd:element name="Session" ma:index="8" nillable="true" ma:displayName="Session" ma:internalName="Session" ma:readOnly="false">
      <xsd:simpleType>
        <xsd:restriction base="dms:Text"/>
      </xsd:simpleType>
    </xsd:element>
    <xsd:element name="Issue" ma:index="9" nillable="true" ma:displayName="Issue" ma:internalName="Issue" ma:readOnly="false">
      <xsd:simpleType>
        <xsd:restriction base="dms:Note"/>
      </xsd:simpleType>
    </xsd:element>
    <xsd:element name="Mandate" ma:index="10" nillable="true" ma:displayName="Mandate" ma:internalName="Mandate" ma:readOnly="false">
      <xsd:simpleType>
        <xsd:restriction base="dms:Note">
          <xsd:maxLength value="255"/>
        </xsd:restriction>
      </xsd:simpleType>
    </xsd:element>
    <xsd:element name="Date_x0020_Of_x0020_Call" ma:index="11" nillable="true" ma:displayName="Date Of Call" ma:format="DateOnly" ma:internalName="Date_x0020_Of_x0020_Call" ma:readOnly="false">
      <xsd:simpleType>
        <xsd:restriction base="dms:DateTime"/>
      </xsd:simpleType>
    </xsd:element>
    <xsd:element name="Theme" ma:index="12" nillable="true" ma:displayName="Theme" ma:internalName="Theme" ma:readOnly="false">
      <xsd:simpleType>
        <xsd:restriction base="dms:Note">
          <xsd:maxLength value="255"/>
        </xsd:restriction>
      </xsd:simpleType>
    </xsd:element>
    <xsd:element name="UNF3CSPEntityType" ma:index="19" nillable="true" ma:displayName="Entity Type" ma:internalName="UNF3CSPEntityType">
      <xsd:simpleType>
        <xsd:restriction base="dms:Text">
          <xsd:maxLength value="255"/>
        </xsd:restriction>
      </xsd:simpleType>
    </xsd:element>
    <xsd:element name="UNF3CSPSubmissionDate" ma:index="20" nillable="true" ma:displayName="UNF3CSPSubmissionDate" ma:format="DateOnly" ma:internalName="UNF3CSPSubmissionDate">
      <xsd:simpleType>
        <xsd:restriction base="dms:DateTime"/>
      </xsd:simpleType>
    </xsd:element>
    <xsd:element name="SourceItemID" ma:index="21" nillable="true" ma:displayName="SourceItemID" ma:internalName="SourceItemID">
      <xsd:simpleType>
        <xsd:restriction base="dms:Text">
          <xsd:maxLength value="255"/>
        </xsd:restriction>
      </xsd:simpleType>
    </xsd:element>
    <xsd:element name="UNF3CSPThematicAreas" ma:index="22" nillable="true" ma:displayName="Thematic Areas" ma:internalName="UNF3CSPThematicAreas">
      <xsd:complexType>
        <xsd:complexContent>
          <xsd:extension base="dms:MultiChoice">
            <xsd:sequence>
              <xsd:element name="Value" maxOccurs="unbounded" minOccurs="0" nillable="true">
                <xsd:simpleType>
                  <xsd:restriction base="dms:Choice">
                    <xsd:enumeration value="Adaptation"/>
                    <xsd:enumeration value="Mitigation"/>
                    <xsd:enumeration value="Finance"/>
                    <xsd:enumeration value="Means of implementation"/>
                    <xsd:enumeration value="Capacity building"/>
                    <xsd:enumeration value="Technology"/>
                    <xsd:enumeration value="Loss and damage"/>
                    <xsd:enumeration value="Response measures"/>
                    <xsd:enumeration value="Science"/>
                    <xsd:enumeration value="Equity"/>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6920f5ab-9618-4f6e-a652-41e6f8b811ff">2021</Year>
    <UNF3CSPThematicAreas xmlns="6920f5ab-9618-4f6e-a652-41e6f8b811ff"/>
    <UNF3CSPEntity xmlns="cd1c2313-39f8-4f5d-8e14-5f0ea1c36a8a">Republic of Korea</UNF3CSPEntity>
    <UNF3CSPInvitationToSubmit xmlns="cd1c2313-39f8-4f5d-8e14-5f0ea1c36a8a">1372</UNF3CSPInvitationToSubmit>
    <UNF3CSPSubmissionDate xmlns="6920f5ab-9618-4f6e-a652-41e6f8b811ff">2022-09-26T16:37:00+00:00</UNF3CSPSubmissionDate>
    <UNF3CSPEntityType xmlns="6920f5ab-9618-4f6e-a652-41e6f8b811ff">Party</UNF3CSPEntityType>
    <Issue xmlns="6920f5ab-9618-4f6e-a652-41e6f8b811ff">Parties and observer organizations to submit views on any of the elements referred to in paragraphs 3, 6, 7 and 10 of decision 2/CMA.3 for consideration by the SBSTA.
</Issue>
    <UNF3CSPDescription xmlns="cd1c2313-39f8-4f5d-8e14-5f0ea1c36a8a" xsi:nil="true"/>
    <Date_x0020_Of_x0020_Call xmlns="6920f5ab-9618-4f6e-a652-41e6f8b811ff">2022-08-30T22:00:00+00:00</Date_x0020_Of_x0020_Call>
    <UNF3CSPLanguage xmlns="cd1c2313-39f8-4f5d-8e14-5f0ea1c36a8a">English</UNF3CSPLanguage>
    <Mandate xmlns="6920f5ab-9618-4f6e-a652-41e6f8b811ff">FCCC/SBSTA/2022/L.12, Para 5
</Mandate>
    <Session xmlns="6920f5ab-9618-4f6e-a652-41e6f8b811ff">SBSTA 57</Session>
    <SourceItemID xmlns="6920f5ab-9618-4f6e-a652-41e6f8b811ff" xsi:nil="true"/>
    <Theme xmlns="6920f5ab-9618-4f6e-a652-41e6f8b811ff" xsi:nil="true"/>
    <UNF3CSPBody xmlns="6920f5ab-9618-4f6e-a652-41e6f8b811ff">SBSTA</UNF3CSPBody>
  </documentManagement>
</p:properties>
</file>

<file path=customXml/itemProps1.xml><?xml version="1.0" encoding="utf-8"?>
<ds:datastoreItem xmlns:ds="http://schemas.openxmlformats.org/officeDocument/2006/customXml" ds:itemID="{80EA83C7-089E-4C7F-A5BE-C89318082B29}"/>
</file>

<file path=customXml/itemProps2.xml><?xml version="1.0" encoding="utf-8"?>
<ds:datastoreItem xmlns:ds="http://schemas.openxmlformats.org/officeDocument/2006/customXml" ds:itemID="{606BF405-E08A-416D-B947-8916D20282BC}"/>
</file>

<file path=customXml/itemProps3.xml><?xml version="1.0" encoding="utf-8"?>
<ds:datastoreItem xmlns:ds="http://schemas.openxmlformats.org/officeDocument/2006/customXml" ds:itemID="{826773D9-C619-4FF2-A8A8-92BC34CAD75F}"/>
</file>

<file path=customXml/itemProps4.xml><?xml version="1.0" encoding="utf-8"?>
<ds:datastoreItem xmlns:ds="http://schemas.openxmlformats.org/officeDocument/2006/customXml" ds:itemID="{C12CB74F-8EB3-4DB2-B570-1A09A28FD1DB}"/>
</file>

<file path=docProps/app.xml><?xml version="1.0" encoding="utf-8"?>
<Properties xmlns="http://schemas.openxmlformats.org/officeDocument/2006/extended-properties" xmlns:vt="http://schemas.openxmlformats.org/officeDocument/2006/docPropsVTypes">
  <Template>Normal</Template>
  <TotalTime>33</TotalTime>
  <Pages>21</Pages>
  <Words>7755</Words>
  <Characters>44205</Characters>
  <Application>Microsoft Office Word</Application>
  <DocSecurity>0</DocSecurity>
  <Lines>368</Lines>
  <Paragraphs>103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Daeho</dc:creator>
  <cp:keywords/>
  <dc:description/>
  <cp:lastModifiedBy>MOFA</cp:lastModifiedBy>
  <cp:revision>7</cp:revision>
  <cp:lastPrinted>2022-09-14T05:28:00Z</cp:lastPrinted>
  <dcterms:created xsi:type="dcterms:W3CDTF">2022-09-14T04:57:00Z</dcterms:created>
  <dcterms:modified xsi:type="dcterms:W3CDTF">2022-09-20T07:50:00Z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0x01010060B37736DA6C3A4EA53353A2B9AE5F5400350996634F87D6408857E55B65F74000</vt:lpwstr>
  </property>
  <property fmtid="{D5CDD505-2E9C-101B-9397-08002B2CF9AE}" pid="3" name="Order">
    <vt:r8>740800</vt:r8>
  </property>
  <property fmtid="{D5CDD505-2E9C-101B-9397-08002B2CF9AE}" pid="4" name="xd_ProgID">
    <vt:lpwstr/>
  </property>
  <property fmtid="{D5CDD505-2E9C-101B-9397-08002B2CF9AE}" pid="5" name="_CopySource">
    <vt:lpwstr>https://process.unfccc.int/sites/SubmissionsStaging/Documents/202209261637---220920_ROK_s Submission on A6.2.docx</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